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FC" w:rsidRDefault="005B7BFC">
      <w:pPr>
        <w:pStyle w:val="Cmsor"/>
        <w:spacing w:before="0" w:after="120"/>
        <w:ind w:left="709" w:hanging="709"/>
      </w:pPr>
      <w:r>
        <w:t>Udvarias értesítés</w:t>
      </w:r>
    </w:p>
    <w:p w:rsidR="002B385E" w:rsidRPr="002B385E" w:rsidRDefault="00AD22C8" w:rsidP="002B385E">
      <w:pPr>
        <w:pStyle w:val="Szvegtrzs"/>
        <w:jc w:val="center"/>
        <w:rPr>
          <w:b/>
          <w:sz w:val="24"/>
          <w:szCs w:val="24"/>
        </w:rPr>
      </w:pPr>
      <w:r>
        <w:rPr>
          <w:b/>
          <w:sz w:val="24"/>
          <w:szCs w:val="24"/>
        </w:rPr>
        <w:t xml:space="preserve">– </w:t>
      </w:r>
      <w:r w:rsidR="008358CA">
        <w:rPr>
          <w:b/>
          <w:sz w:val="24"/>
          <w:szCs w:val="24"/>
        </w:rPr>
        <w:t>Írásbeli akció</w:t>
      </w:r>
      <w:r w:rsidR="008E79D3">
        <w:rPr>
          <w:b/>
          <w:sz w:val="24"/>
          <w:szCs w:val="24"/>
        </w:rPr>
        <w:t xml:space="preserve"> </w:t>
      </w:r>
      <w:r>
        <w:rPr>
          <w:b/>
          <w:sz w:val="24"/>
          <w:szCs w:val="24"/>
        </w:rPr>
        <w:t>–</w:t>
      </w:r>
    </w:p>
    <w:tbl>
      <w:tblPr>
        <w:tblW w:w="0" w:type="auto"/>
        <w:tblInd w:w="-142" w:type="dxa"/>
        <w:tblLayout w:type="fixed"/>
        <w:tblCellMar>
          <w:left w:w="0" w:type="dxa"/>
          <w:right w:w="0" w:type="dxa"/>
        </w:tblCellMar>
        <w:tblLook w:val="0000"/>
      </w:tblPr>
      <w:tblGrid>
        <w:gridCol w:w="5297"/>
        <w:gridCol w:w="5281"/>
      </w:tblGrid>
      <w:tr w:rsidR="005B7BFC">
        <w:trPr>
          <w:trHeight w:val="1570"/>
        </w:trPr>
        <w:tc>
          <w:tcPr>
            <w:tcW w:w="5297" w:type="dxa"/>
            <w:tcBorders>
              <w:top w:val="single" w:sz="4" w:space="0" w:color="000000"/>
              <w:left w:val="single" w:sz="4" w:space="0" w:color="000000"/>
              <w:bottom w:val="single" w:sz="4" w:space="0" w:color="000000"/>
            </w:tcBorders>
            <w:shd w:val="clear" w:color="auto" w:fill="auto"/>
          </w:tcPr>
          <w:p w:rsidR="005B7BFC" w:rsidRDefault="005B7BFC">
            <w:pPr>
              <w:rPr>
                <w:color w:val="FF0000"/>
              </w:rPr>
            </w:pPr>
            <w:r>
              <w:rPr>
                <w:b/>
              </w:rPr>
              <w:t>Címzett</w:t>
            </w:r>
            <w:r>
              <w:rPr>
                <w:b/>
                <w:sz w:val="24"/>
                <w:szCs w:val="24"/>
              </w:rPr>
              <w:t>:</w:t>
            </w:r>
          </w:p>
          <w:p w:rsidR="005B7BFC" w:rsidRPr="002C0C2A" w:rsidRDefault="002C0C2A" w:rsidP="002C0C2A">
            <w:pPr>
              <w:rPr>
                <w:b/>
              </w:rPr>
            </w:pPr>
            <w:r w:rsidRPr="002C0C2A">
              <w:t>Rehákné Dr.Boros Ildikó</w:t>
            </w:r>
            <w:r w:rsidR="005B7BFC" w:rsidRPr="002C0C2A">
              <w:br/>
            </w:r>
            <w:r w:rsidR="004267C7" w:rsidRPr="002C0C2A">
              <w:t xml:space="preserve">Lombard </w:t>
            </w:r>
            <w:r>
              <w:t>Lizing</w:t>
            </w:r>
            <w:r w:rsidR="004267C7" w:rsidRPr="002C0C2A">
              <w:t xml:space="preserve"> Zrt</w:t>
            </w:r>
            <w:r w:rsidR="005B7BFC" w:rsidRPr="002C0C2A">
              <w:br/>
            </w:r>
            <w:r>
              <w:t>6701 Szeged  Pf 739</w:t>
            </w:r>
            <w:r w:rsidR="005B7BFC" w:rsidRPr="002C0C2A">
              <w:br/>
            </w:r>
          </w:p>
        </w:tc>
        <w:tc>
          <w:tcPr>
            <w:tcW w:w="5281"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pPr>
              <w:rPr>
                <w:color w:val="FF0000"/>
              </w:rPr>
            </w:pPr>
            <w:r>
              <w:rPr>
                <w:b/>
              </w:rPr>
              <w:t>Indítványozó:</w:t>
            </w:r>
          </w:p>
          <w:p w:rsidR="005B7BFC" w:rsidRPr="004267C7" w:rsidRDefault="008327AA">
            <w:r w:rsidRPr="004267C7">
              <w:t>Erdélyi Zsolt</w:t>
            </w:r>
            <w:r w:rsidR="005B7BFC" w:rsidRPr="004267C7">
              <w:br/>
            </w:r>
            <w:r w:rsidR="008461BC">
              <w:t xml:space="preserve">1161 </w:t>
            </w:r>
          </w:p>
          <w:p w:rsidR="008327AA" w:rsidRDefault="008327AA">
            <w:pPr>
              <w:rPr>
                <w:b/>
              </w:rPr>
            </w:pPr>
          </w:p>
        </w:tc>
      </w:tr>
    </w:tbl>
    <w:p w:rsidR="005B7BFC" w:rsidRDefault="005B7BFC">
      <w:pPr>
        <w:spacing w:before="240"/>
        <w:rPr>
          <w:b/>
        </w:rPr>
      </w:pPr>
      <w:r>
        <w:rPr>
          <w:b/>
        </w:rPr>
        <w:t>Dátum</w:t>
      </w:r>
      <w:r w:rsidR="00B306AF">
        <w:t xml:space="preserve">: </w:t>
      </w:r>
      <w:r w:rsidR="00B306AF">
        <w:tab/>
        <w:t xml:space="preserve">   2013. 09. 21</w:t>
      </w:r>
      <w:r w:rsidR="004267C7">
        <w:t xml:space="preserve"> </w:t>
      </w:r>
    </w:p>
    <w:p w:rsidR="005B7BFC" w:rsidRDefault="005B7BFC">
      <w:pPr>
        <w:pStyle w:val="StlusBal0cmFgg25cm"/>
      </w:pPr>
      <w:r>
        <w:rPr>
          <w:b/>
        </w:rPr>
        <w:t>Tárgy</w:t>
      </w:r>
      <w:r>
        <w:t xml:space="preserve">: </w:t>
      </w:r>
      <w:r>
        <w:tab/>
        <w:t xml:space="preserve">A korlátlan személyi felelősség tudatosítása az összes bank, kormány és más nagyvállalatok jogalap nélküli működése miatt – az Egy Emberiség Nyilvános </w:t>
      </w:r>
      <w:r w:rsidR="00956DCD">
        <w:t>Érdekképvisel</w:t>
      </w:r>
      <w:r w:rsidR="005A087C">
        <w:t>etének</w:t>
      </w:r>
      <w:r>
        <w:t xml:space="preserve"> (továbbiakban: </w:t>
      </w:r>
      <w:r w:rsidR="00956DCD">
        <w:t>One People’s Public Trust: OPPT</w:t>
      </w:r>
      <w:r>
        <w:t>) az Egységes Kereskedelmi Törvénykönyvre (UCC) való hivatkozások alapján</w:t>
      </w:r>
    </w:p>
    <w:p w:rsidR="005F64D2" w:rsidRPr="005F64D2" w:rsidRDefault="005F64D2">
      <w:pPr>
        <w:pStyle w:val="Cmsor3"/>
        <w:rPr>
          <w:rFonts w:cs="Arial"/>
          <w:lang w:val="hu-HU"/>
        </w:rPr>
      </w:pPr>
    </w:p>
    <w:p w:rsidR="005B7BFC" w:rsidRPr="008327AA" w:rsidRDefault="005B7BFC">
      <w:pPr>
        <w:pStyle w:val="Cmsor3"/>
        <w:rPr>
          <w:rFonts w:cs="Arial"/>
          <w:lang w:val="hu-HU"/>
        </w:rPr>
      </w:pPr>
      <w:r w:rsidRPr="008327AA">
        <w:rPr>
          <w:lang w:val="hu-HU"/>
        </w:rPr>
        <w:t>KELLŐEN IGAZOLT NYILATKOZAT A TÉNYEKRŐL:</w:t>
      </w:r>
    </w:p>
    <w:p w:rsidR="0097763B" w:rsidRPr="008358CA" w:rsidRDefault="008358CA">
      <w:r w:rsidRPr="008358CA">
        <w:t xml:space="preserve">Kaptam Öntől egy dokumentumot amely egy állítólagos számra </w:t>
      </w:r>
      <w:r w:rsidR="0087079C" w:rsidRPr="0087079C">
        <w:rPr>
          <w:b/>
        </w:rPr>
        <w:t>HIT2318509</w:t>
      </w:r>
      <w:r w:rsidRPr="008358CA">
        <w:t xml:space="preserve"> utal, és egyben arra, hogy Ön </w:t>
      </w:r>
      <w:r w:rsidR="0087079C" w:rsidRPr="0087079C">
        <w:rPr>
          <w:b/>
        </w:rPr>
        <w:t>Rehákné Dr.Boros Ildikó /Lombard Lizing Zrt /6701 Szeged  Pf 739</w:t>
      </w:r>
      <w:r w:rsidR="0087079C">
        <w:t xml:space="preserve"> </w:t>
      </w:r>
      <w:r w:rsidRPr="008358CA">
        <w:t>a továbbiakban: „Címzett”, fenntartja a RABSZOLGASÁG RENDSZERÉT.</w:t>
      </w:r>
    </w:p>
    <w:p w:rsidR="005B7BFC" w:rsidRDefault="005B7BFC">
      <w:r>
        <w:t xml:space="preserve">Nyilatkozom, hogy én vagyok az egyetlen törvényes és jogszerűen regisztrált tulajdonosa, gondnoka és felügyelője a saját lényemnek, az ebből származó bármilyen és minden cselekedetnek és tulajdonnak. </w:t>
      </w:r>
      <w:r w:rsidRPr="0058182E">
        <w:rPr>
          <w:b/>
        </w:rPr>
        <w:t>Referencia: Az Egységes Kereskedelmi Törvény (UCC) 2012127810, 2012127854, 2012127907, 2012127914</w:t>
      </w:r>
      <w:r>
        <w:t xml:space="preserve"> </w:t>
      </w:r>
      <w:r w:rsidRPr="0058182E">
        <w:rPr>
          <w:b/>
        </w:rPr>
        <w:t>számú dokumentumai</w:t>
      </w:r>
      <w:r>
        <w:t xml:space="preserve"> alapján az Egy Emberiség Nyilvános </w:t>
      </w:r>
      <w:r w:rsidR="00956DCD">
        <w:t>Érdekképvisel</w:t>
      </w:r>
      <w:r w:rsidR="005A087C">
        <w:t>ete</w:t>
      </w:r>
      <w:r>
        <w:t xml:space="preserve"> (OPPT) által nyilvánosan regisztrált és rendelkezésre bocsátott a Tények Deklarációjának (DECLARATION OF FACTS) teljes és eredeti feljegyzése.</w:t>
      </w:r>
    </w:p>
    <w:p w:rsidR="005B7BFC" w:rsidRDefault="005B7BFC">
      <w:r>
        <w:t>Teljes tudatossággal, akaratommal és szándékom szerint elfogadom, jóváhagyom és megerősítem az említett Tények Deklarációját, mint a saját, ténylegesen érvényes Tény Deklarációmat, nunc pro tunc, praeterea preterea, a törvény, a tények és a nyilvános irányelv szerint megcáfolhatatlanul; innentől „Indítványozóként” megjelölve.</w:t>
      </w:r>
    </w:p>
    <w:p w:rsidR="005B7BFC" w:rsidRDefault="005B7BFC">
      <w:pPr>
        <w:pStyle w:val="Cmsor3"/>
        <w:rPr>
          <w:rFonts w:cs="Arial"/>
        </w:rPr>
      </w:pPr>
      <w:r>
        <w:t>KELLŐEN IGAZOLT ÉRTESÍTÉS:</w:t>
      </w:r>
    </w:p>
    <w:p w:rsidR="005B7BFC" w:rsidRDefault="005B7BFC">
      <w:r>
        <w:t>Az ügy Indítványozója tudatja a Címzettel, hogy az Indítványozó nem járul hozzá az Indítványozó kellően biztosított Lényének és az ebből származó bármilyen és minden megnyilvánulásának és tulajdonának bármilyen törvénytelen és illegális lealacsonyításához, leértékeléséhez, érvénytelenítéséhez, leigázásához, alárendeléséhez, elbitorlásához, megszállásához, megrongálásához vagy meglopásához. Az Indítványozó felhatalmazva érzi magát, hogy azonnali hatállyal állítsa meg és álljon ellen bármilyen és minden fent említett, ellene irányuló törvénytelen és törvényellenes cselekedetnek.</w:t>
      </w:r>
    </w:p>
    <w:p w:rsidR="005B7BFC" w:rsidRDefault="005B7BFC">
      <w:r>
        <w:t xml:space="preserve">Az ügy Indítványozója tudatja Önnel, hogy a köztörvény szerint Ön az Indítványozóval szemben jogosan és törvényesen felelős – a tőke és annak háromszoros kára mértékéig – bármilyen és minden törvénytelen és jogtalan tettéért, melyből az Indítványozónak bármilyen kára származik, beleértve a fizikai sérülést, fogvatartást, tulajdon lefoglalást, tulajdon megrongálását, anyagi kárt vagy </w:t>
      </w:r>
      <w:r>
        <w:rPr>
          <w:u w:val="single"/>
        </w:rPr>
        <w:t>az Indítványozó mérhető erőfeszítésének rovására történő bármilyen más kárt.</w:t>
      </w:r>
      <w:r>
        <w:t xml:space="preserve"> </w:t>
      </w:r>
    </w:p>
    <w:p w:rsidR="005B7BFC" w:rsidRDefault="005B7BFC">
      <w:pPr>
        <w:rPr>
          <w:sz w:val="22"/>
        </w:rPr>
      </w:pPr>
      <w:r>
        <w:t>Felhívom a Címzett figyelmét a Tények Deklarációja kiadvány tényeire, különösképp kiemelve az 2012-es év végén történt, addig a népi kormányok álcája alatt, valójában vállalatként működő entitások, továbbá a bankok és más nagyvállalatok felszámolását, mivel ezen entitások becsapták és megkárosították e bolygó lakosságát, különösképpen: annak tudomása és beleegyezése nélkül.</w:t>
      </w:r>
    </w:p>
    <w:p w:rsidR="005B7BFC" w:rsidRDefault="005B7BFC">
      <w:pPr>
        <w:pStyle w:val="Cmsor3"/>
        <w:tabs>
          <w:tab w:val="right" w:pos="10204"/>
        </w:tabs>
        <w:spacing w:after="120"/>
        <w:rPr>
          <w:rFonts w:eastAsia="Arial" w:cs="Arial"/>
        </w:rPr>
      </w:pPr>
      <w:r>
        <w:rPr>
          <w:rFonts w:cs="Arial"/>
          <w:sz w:val="22"/>
          <w:szCs w:val="22"/>
          <w:lang w:val="hu-HU"/>
        </w:rPr>
        <w:t>A kormányok kiváltságleveleinek eltörlése (Referencia: DECLARATION OF FACTS – A TÉNYEK MEGÁLLAPÍTÁSA: UCC Doc # 2012127914, 2012. nov. 28.)</w:t>
      </w:r>
    </w:p>
    <w:p w:rsidR="005B7BFC" w:rsidRDefault="005B7BFC">
      <w:pPr>
        <w:ind w:left="708"/>
        <w:rPr>
          <w:sz w:val="22"/>
        </w:rPr>
      </w:pPr>
      <w:r>
        <w:rPr>
          <w:rFonts w:eastAsia="Arial"/>
        </w:rPr>
        <w:t>„…</w:t>
      </w:r>
      <w:r>
        <w:t xml:space="preserve">bármilyen és minden KIVÁLTSÁGLEVÉL (OKIRAT), amely magába foglalja az Egyesült Államok Szövetségi Kormányát, az EGYESÜLT ÁLLAMOK, ’… ÁLLAMÁT’, beleértve bármely és minden rövidítést, hasonló hangzású, vagy bármilyen más törvényes, pénzügyi vagy irányítási formákat, továbbá ezek </w:t>
      </w:r>
      <w:r>
        <w:rPr>
          <w:b/>
        </w:rPr>
        <w:t>bármilyen és valamennyi nemzetközi megfelelőit,</w:t>
      </w:r>
      <w:r>
        <w:t xml:space="preserve"> beleértve bármilyen és minden hivatalt, HIVATALNOKOT, KÖZTISZTVISELŐT, VÉGREHAJTÓ RENDELETEKET, EGYEZMÉNYT, ALKOTMÁNYT, TAGSÁGOT, TÖRVÉNYT, és az ezek által és a hatókörükben létrejött bármilyen és minden más szerződést és megállapodást, amely mostantól érvénytelen, semmis, </w:t>
      </w:r>
      <w:r>
        <w:rPr>
          <w:b/>
          <w:i/>
          <w:u w:val="single"/>
        </w:rPr>
        <w:t>kiiktatásra került jogerősen</w:t>
      </w:r>
      <w:r>
        <w:rPr>
          <w:i/>
        </w:rPr>
        <w:t>:</w:t>
      </w:r>
      <w:r>
        <w:t xml:space="preserve"> …”</w:t>
      </w:r>
    </w:p>
    <w:p w:rsidR="005B7BFC" w:rsidRDefault="005B7BFC">
      <w:pPr>
        <w:pStyle w:val="Cmsor3"/>
        <w:tabs>
          <w:tab w:val="right" w:pos="10204"/>
        </w:tabs>
        <w:spacing w:after="120"/>
        <w:rPr>
          <w:rFonts w:eastAsia="Arial" w:cs="Arial"/>
        </w:rPr>
      </w:pPr>
      <w:r>
        <w:rPr>
          <w:rFonts w:cs="Arial"/>
          <w:sz w:val="22"/>
          <w:szCs w:val="22"/>
          <w:lang w:val="hu-HU"/>
        </w:rPr>
        <w:t>A banki kiváltságlevelek eltörléséről (Referencia: TRUE BILL: WA DC UCC Doc# 2012114776, 2012. okt. 24.)</w:t>
      </w:r>
    </w:p>
    <w:p w:rsidR="005B7BFC" w:rsidRDefault="005B7BFC">
      <w:pPr>
        <w:ind w:left="708"/>
      </w:pPr>
      <w:r>
        <w:rPr>
          <w:rFonts w:eastAsia="Arial"/>
        </w:rPr>
        <w:t>„</w:t>
      </w:r>
      <w:r>
        <w:rPr>
          <w:b/>
          <w:u w:val="single"/>
        </w:rPr>
        <w:t>Visszavonhatatlan eltörlést állapítottak meg és rendeltek el</w:t>
      </w:r>
      <w:r>
        <w:t xml:space="preserve">: a Nemzetközi Fizetések Bank (BIS) tagszervezeteinek bármilyen és minden kiváltságlevelére, ezáltal beleértve minden kedvezményezettjét, beleérve </w:t>
      </w:r>
      <w:r>
        <w:lastRenderedPageBreak/>
        <w:t>minden testületét, amely birtokol, működtet, elősegít és bűnpártolóan támogat olyan magánpénzrendszereket, pénzkibocsájtó, behajtói, büntetés-végrehajtói rendszereket, amely fenntartja a RABSZOLGASÁG RENDSZERÉT … amely törvénytelen jogalapon törvényes értéket rekvirál.”</w:t>
      </w:r>
    </w:p>
    <w:p w:rsidR="005B7BFC" w:rsidRDefault="005B7BFC">
      <w:r>
        <w:t xml:space="preserve">Az említett Ténymegállapítás (DECLARATION OF FACTS) beazonosított, újra megállapított, és </w:t>
      </w:r>
      <w:r>
        <w:rPr>
          <w:b/>
        </w:rPr>
        <w:t>megcáfolhatatlan volta miatt Abszolút Igazságként van jelen a törvényben</w:t>
      </w:r>
      <w:r>
        <w:t xml:space="preserve">, kereskedelemben és a Létezésben, nyilvános okmányokban jegyzett, az egyetemes törvény szerinti rendelet a világ minden embere számára. Lásd: </w:t>
      </w:r>
      <w:hyperlink r:id="rId7" w:history="1">
        <w:r>
          <w:rPr>
            <w:rStyle w:val="Hiperhivatkozs"/>
          </w:rPr>
          <w:t>https://gov.propertyinfo.com/DC-Washington/</w:t>
        </w:r>
      </w:hyperlink>
      <w:r>
        <w:t xml:space="preserve"> </w:t>
      </w:r>
      <w:r>
        <w:rPr>
          <w:bCs/>
        </w:rPr>
        <w:t xml:space="preserve">(regisztráció szükséges), vagy a </w:t>
      </w:r>
      <w:hyperlink r:id="rId8" w:history="1">
        <w:r>
          <w:rPr>
            <w:rStyle w:val="Hiperhivatkozs"/>
          </w:rPr>
          <w:t>http://i-uv.com/oppt-abs</w:t>
        </w:r>
        <w:r>
          <w:rPr>
            <w:rStyle w:val="Hiperhivatkozs"/>
          </w:rPr>
          <w:t>o</w:t>
        </w:r>
        <w:r>
          <w:rPr>
            <w:rStyle w:val="Hiperhivatkozs"/>
          </w:rPr>
          <w:t>lute/original-oppt-ucc-filings/</w:t>
        </w:r>
      </w:hyperlink>
      <w:r>
        <w:rPr>
          <w:bCs/>
          <w:sz w:val="22"/>
        </w:rPr>
        <w:t xml:space="preserve"> </w:t>
      </w:r>
      <w:r>
        <w:rPr>
          <w:bCs/>
        </w:rPr>
        <w:t>oldalon.</w:t>
      </w:r>
    </w:p>
    <w:p w:rsidR="005B7BFC" w:rsidRDefault="005B7BFC">
      <w:r>
        <w:t xml:space="preserve">Ennek megfelelően a Címzettet értesítem, hogy ezentúl mint egyéni entitás cselekszik, – bármilyen jogi szervezet biztonsági fedezete nélkül – teljes személyes felelősséget vállalva MINDEN ÁLTALA VÉGREHAJTOTT TETTÉÉRT a UCC 1-103 és az Egyetemes törvény, az irányadó jog vezérelve által védett és fenntartott köztörvények alapján, melyek az OPPT UCC-aktákban vannak lefektetve. (Referencia: </w:t>
      </w:r>
      <w:r>
        <w:rPr>
          <w:b/>
        </w:rPr>
        <w:t>WA DC UCC Ref Doc # 2012113593</w:t>
      </w:r>
      <w:r>
        <w:t>)</w:t>
      </w:r>
    </w:p>
    <w:p w:rsidR="005B7BFC" w:rsidRDefault="005B7BFC">
      <w:r>
        <w:t>Ha a Címzett úgy dönt, hogy egy törvénytelen entitás nevében cselekszik, így az Indítványozónak bármilyen, itt megállapított kárt okoz, úgy egyéni és korlátlan felelősséggel tartozik tettéért. A UCC 1-305 irányelve értelmében az ilyen tettek a Címzett elleni törvényes jogorvoslatot vonhatják maguk után, beleértve, de nem kizárólagosan a Címzett vagyonát érintően.</w:t>
      </w:r>
      <w:r>
        <w:rPr>
          <w:color w:val="C00000"/>
        </w:rPr>
        <w:t xml:space="preserve"> </w:t>
      </w:r>
      <w:r>
        <w:t>Ref:</w:t>
      </w:r>
      <w:r>
        <w:rPr>
          <w:color w:val="C00000"/>
        </w:rPr>
        <w:t xml:space="preserve"> </w:t>
      </w:r>
      <w:r>
        <w:t>UCC Commercial Bill (zálogjog).</w:t>
      </w:r>
    </w:p>
    <w:p w:rsidR="005B7BFC" w:rsidRDefault="005B7BFC">
      <w:r>
        <w:t xml:space="preserve">Továbbá, felhívjuk a Címzett figyelmét a </w:t>
      </w:r>
      <w:r>
        <w:rPr>
          <w:b/>
        </w:rPr>
        <w:t>DECLARATION AND ORDER: UCC Doc. # 2012096074</w:t>
      </w:r>
      <w:r>
        <w:t>, (Sept. 09</w:t>
      </w:r>
      <w:r w:rsidR="001B73B3">
        <w:t>. 2012)-re</w:t>
      </w:r>
      <w:r>
        <w:t xml:space="preserve">, amely szabályosan megerősíti és jóváhagyja a Kereskedelmi Törvény UCC Doc. No. 2012114586-t és a TRUE BILL UCC Doc. No.2012 114776-t, melyek szerint: </w:t>
      </w:r>
    </w:p>
    <w:p w:rsidR="005B7BFC" w:rsidRDefault="005B7BFC">
      <w:pPr>
        <w:ind w:left="708"/>
        <w:rPr>
          <w:rFonts w:eastAsia="Arial"/>
        </w:rPr>
      </w:pPr>
      <w:r>
        <w:t>A fegyveres testületeken belüli önkéntesek…„felszólíttatnak bármilyen egyén, testület, azok ügynökeinek, tisztjeinek és egyéb képviselőinek letartóztatására és őrizetbe vételére, a helyszíntől függetlenül, ha azok magánpénzrendszert, pénzkibocsátói, behajtói, büntetés-végrehajtói intézményt, RABSZOLGATARTÓ RENDSZERT birtokolnak, működtetnek, segítenek vagy támogatnak az egyes államok polgárai rovására”… és lefoglalhatnak bármely olyan magánpénzrendszert, adatkövetési, átutalási, kibocsátói, begyűjtési és jogi végrehajtó rendszert, amely RABSZOLGATARTÓ RENDSZER működtetését szolgálja.</w:t>
      </w:r>
    </w:p>
    <w:p w:rsidR="005B7BFC" w:rsidRDefault="005B7BFC">
      <w:pPr>
        <w:ind w:left="708"/>
      </w:pPr>
      <w:r>
        <w:rPr>
          <w:rFonts w:eastAsia="Arial"/>
        </w:rPr>
        <w:t>„</w:t>
      </w:r>
      <w:r>
        <w:t xml:space="preserve">A teremtő valamennyi teremtményének kötelessége azonnali hatállyal segítséget nyújtania az itt megjelölt KÖZJÓÉRT CSELEKVŐ SZEMÉLYEKNEK, a célból, hogy azok </w:t>
      </w:r>
      <w:r>
        <w:rPr>
          <w:b/>
        </w:rPr>
        <w:t>ezen rendeletet minden eszközzel végrehajthassák, megvédhessék, fenntartsák és a beteljesítsék</w:t>
      </w:r>
      <w:r>
        <w:t>, minden, a teremtő és a teremtő által elérhető eszközzel és módon, mégpedig teljes személyes felelősséggel.</w:t>
      </w:r>
    </w:p>
    <w:p w:rsidR="005B7BFC" w:rsidRDefault="005B7BFC">
      <w:pPr>
        <w:ind w:left="708"/>
      </w:pPr>
      <w:r>
        <w:t>Ennek során emberéletben és testi épségben kár nem eshet.”</w:t>
      </w:r>
    </w:p>
    <w:p w:rsidR="005B7BFC" w:rsidRDefault="005B7BFC">
      <w:r>
        <w:t>Amennyiben a Címzett az Indítványozó kárára irányuló bármilyen és összes cselekménnyel felhagy, a Címzett vagyontárgyai ellen irányuló akciók is elhárulnak.</w:t>
      </w:r>
    </w:p>
    <w:p w:rsidR="005B7BFC" w:rsidRDefault="005B7BFC">
      <w:r>
        <w:t xml:space="preserve">Figyelmeztetjük a Címzettet az összetett és halmozódó felelősségére, amennyiben utasító, irányító, vagy kollegáival való konspiráló, az Indítványozó számára kárt okozó tevékenységet folytat. Amennyiben a kollegák ilyen utasítást kapnak, együttesen és egyenként is felelősek lesznek a Principal Agent Doktrina alapján, melyet a UCC 1-103 irányelve támaszt alá; mivel mostantól az Ön kereskedelmi és erkölcsi felelőssége is, hogy tájékoztassa őket. Az Ön felelőssége, hogy megvizsgálja saját felelősségét és bármilyen potenciális jövőbeni felelősségét, ami azáltal jön létre, hogy Ön a tudása, szándéka és a szabad akarata alapján kárt okoz-e az Indítványozónak. Az Indítványozó kellő mértékben tájékoztatta a Címzettet az Udvarias értesítésről, amely az OPPT által készített eredeti értesítés. </w:t>
      </w:r>
    </w:p>
    <w:p w:rsidR="005B7BFC" w:rsidRDefault="005B7BFC">
      <w:r>
        <w:t xml:space="preserve">Amennyiben a Címzett úgy dönt, hogy az Indítványozóval személyesen együttműködik a jelen időponttól kezdve, az Indítványozó </w:t>
      </w:r>
      <w:r w:rsidR="00B306AF" w:rsidRPr="00B306AF">
        <w:rPr>
          <w:b/>
        </w:rPr>
        <w:t>EZSB-1001</w:t>
      </w:r>
      <w:r>
        <w:t xml:space="preserve"> számú feltételei felajánlásra kerülnek a Címzett részére, ahol az elfogadás menete pontosan meg van határozva. </w:t>
      </w:r>
    </w:p>
    <w:p w:rsidR="005B7BFC" w:rsidRDefault="005B7BFC">
      <w:pPr>
        <w:rPr>
          <w:b/>
        </w:rPr>
      </w:pPr>
      <w:r>
        <w:t>Továbbá felhívjuk a Címzett figyelmét a pozitívumra is, melyet az OPPT-dokumentum minden személy részére felajánl: a megszűnésre került bankok eltörlik az adósságot, a „közigazgatási” okmányok megsemmisítik a törvénytelen adókat, törvényt és minden bíróságot, stb.</w:t>
      </w:r>
    </w:p>
    <w:p w:rsidR="005B7BFC" w:rsidRDefault="005B7BFC">
      <w:r>
        <w:rPr>
          <w:b/>
        </w:rPr>
        <w:t xml:space="preserve">Komoly jogi </w:t>
      </w:r>
      <w:r w:rsidRPr="001B73B3">
        <w:rPr>
          <w:b/>
        </w:rPr>
        <w:t>változások</w:t>
      </w:r>
      <w:r>
        <w:rPr>
          <w:b/>
        </w:rPr>
        <w:t xml:space="preserve"> történtek a világban. </w:t>
      </w:r>
      <w:r>
        <w:t>(Lásd az 5. oldalt a részletesebb információért.)</w:t>
      </w:r>
    </w:p>
    <w:p w:rsidR="005B7BFC" w:rsidRDefault="005B7BFC">
      <w:r>
        <w:t>Kérem, hogy vegye ezt alaposan figyelembe és ezek szerint cselekedjen.</w:t>
      </w:r>
    </w:p>
    <w:p w:rsidR="005B7BFC" w:rsidRDefault="005B7BFC"/>
    <w:p w:rsidR="005B7BFC" w:rsidRDefault="005B7BFC">
      <w:pPr>
        <w:spacing w:before="240"/>
      </w:pPr>
      <w:r>
        <w:t>Indítványozó: .............................................</w:t>
      </w:r>
      <w:r>
        <w:tab/>
      </w:r>
      <w:r>
        <w:tab/>
        <w:t>Tanú: .............................................................</w:t>
      </w:r>
    </w:p>
    <w:p w:rsidR="005B7BFC" w:rsidRDefault="005B7BFC">
      <w:pPr>
        <w:spacing w:before="240"/>
      </w:pPr>
    </w:p>
    <w:p w:rsidR="005B7BFC" w:rsidRDefault="005B7BFC">
      <w:pPr>
        <w:rPr>
          <w:sz w:val="22"/>
        </w:rPr>
      </w:pPr>
      <w:r>
        <w:t>Dátum: ...........................................................</w:t>
      </w:r>
    </w:p>
    <w:p w:rsidR="005B7BFC" w:rsidRDefault="005B7BFC">
      <w:pPr>
        <w:pStyle w:val="Cmsor1"/>
        <w:pageBreakBefore/>
        <w:spacing w:before="360" w:after="240"/>
        <w:rPr>
          <w:rFonts w:cs="Arial"/>
        </w:rPr>
      </w:pPr>
      <w:r>
        <w:rPr>
          <w:rFonts w:ascii="Arial" w:hAnsi="Arial" w:cs="Arial"/>
          <w:color w:val="auto"/>
          <w:sz w:val="22"/>
          <w:szCs w:val="22"/>
        </w:rPr>
        <w:lastRenderedPageBreak/>
        <w:t xml:space="preserve">Szerződési feltételek </w:t>
      </w:r>
      <w:r>
        <w:rPr>
          <w:rFonts w:ascii="Arial" w:hAnsi="Arial" w:cs="Arial"/>
          <w:sz w:val="22"/>
          <w:szCs w:val="22"/>
        </w:rPr>
        <w:tab/>
      </w:r>
      <w:r>
        <w:rPr>
          <w:rFonts w:ascii="Arial" w:hAnsi="Arial" w:cs="Arial"/>
          <w:color w:val="auto"/>
          <w:sz w:val="22"/>
          <w:szCs w:val="22"/>
        </w:rPr>
        <w:t xml:space="preserve">A szerződési feltételek referenciaszáma: </w:t>
      </w:r>
      <w:r w:rsidRPr="001B73B3">
        <w:rPr>
          <w:rFonts w:ascii="Arial" w:hAnsi="Arial" w:cs="Arial"/>
          <w:color w:val="auto"/>
          <w:sz w:val="22"/>
          <w:szCs w:val="22"/>
        </w:rPr>
        <w:t>(</w:t>
      </w:r>
      <w:r w:rsidR="00B306AF">
        <w:rPr>
          <w:rFonts w:ascii="Arial" w:hAnsi="Arial" w:cs="Arial"/>
          <w:color w:val="auto"/>
          <w:sz w:val="22"/>
          <w:szCs w:val="22"/>
        </w:rPr>
        <w:t>EZSB-1001</w:t>
      </w:r>
      <w:r w:rsidRPr="001B73B3">
        <w:rPr>
          <w:rFonts w:ascii="Arial" w:hAnsi="Arial" w:cs="Arial"/>
          <w:color w:val="auto"/>
          <w:sz w:val="22"/>
          <w:szCs w:val="22"/>
        </w:rPr>
        <w:t>)</w:t>
      </w:r>
    </w:p>
    <w:tbl>
      <w:tblPr>
        <w:tblW w:w="0" w:type="auto"/>
        <w:tblInd w:w="-142" w:type="dxa"/>
        <w:tblLayout w:type="fixed"/>
        <w:tblCellMar>
          <w:left w:w="0" w:type="dxa"/>
          <w:right w:w="0" w:type="dxa"/>
        </w:tblCellMar>
        <w:tblLook w:val="0000"/>
      </w:tblPr>
      <w:tblGrid>
        <w:gridCol w:w="5284"/>
        <w:gridCol w:w="5294"/>
      </w:tblGrid>
      <w:tr w:rsidR="005B7BFC" w:rsidRPr="001B73B3">
        <w:trPr>
          <w:trHeight w:val="1294"/>
        </w:trPr>
        <w:tc>
          <w:tcPr>
            <w:tcW w:w="5284" w:type="dxa"/>
            <w:tcBorders>
              <w:top w:val="single" w:sz="4" w:space="0" w:color="000000"/>
              <w:left w:val="single" w:sz="4" w:space="0" w:color="000000"/>
              <w:bottom w:val="single" w:sz="4" w:space="0" w:color="000000"/>
            </w:tcBorders>
            <w:shd w:val="clear" w:color="auto" w:fill="auto"/>
          </w:tcPr>
          <w:p w:rsidR="005B7BFC" w:rsidRPr="001B73B3" w:rsidRDefault="005B7BFC">
            <w:pPr>
              <w:rPr>
                <w:sz w:val="20"/>
              </w:rPr>
            </w:pPr>
            <w:r w:rsidRPr="001B73B3">
              <w:rPr>
                <w:b/>
              </w:rPr>
              <w:t>Címzett</w:t>
            </w:r>
            <w:r w:rsidRPr="001B73B3">
              <w:rPr>
                <w:b/>
                <w:sz w:val="24"/>
                <w:szCs w:val="24"/>
              </w:rPr>
              <w:t>:</w:t>
            </w:r>
          </w:p>
          <w:p w:rsidR="005B7BFC" w:rsidRPr="00B37661" w:rsidRDefault="00B37661">
            <w:pPr>
              <w:pStyle w:val="Standard"/>
              <w:spacing w:after="60"/>
              <w:ind w:left="85"/>
              <w:rPr>
                <w:rFonts w:cs="Arial"/>
                <w:b/>
                <w:color w:val="auto"/>
                <w:lang w:val="hu-HU"/>
              </w:rPr>
            </w:pPr>
            <w:r w:rsidRPr="00B37661">
              <w:rPr>
                <w:lang w:val="hu-HU"/>
              </w:rPr>
              <w:t>Rehákné Dr.Boros Ildikó</w:t>
            </w:r>
            <w:r w:rsidRPr="00B37661">
              <w:rPr>
                <w:lang w:val="hu-HU"/>
              </w:rPr>
              <w:br/>
              <w:t>Lombard Lizing Zrt</w:t>
            </w:r>
            <w:r w:rsidRPr="00B37661">
              <w:rPr>
                <w:lang w:val="hu-HU"/>
              </w:rPr>
              <w:br/>
              <w:t>6701 Szeged  Pf 739</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rsidR="005B7BFC" w:rsidRPr="001B73B3" w:rsidRDefault="005B7BFC">
            <w:pPr>
              <w:rPr>
                <w:sz w:val="20"/>
              </w:rPr>
            </w:pPr>
            <w:r w:rsidRPr="001B73B3">
              <w:rPr>
                <w:b/>
              </w:rPr>
              <w:t>Indítványozó:</w:t>
            </w:r>
          </w:p>
          <w:p w:rsidR="0085556D" w:rsidRPr="001B73B3" w:rsidRDefault="0085556D">
            <w:pPr>
              <w:pStyle w:val="Standard"/>
              <w:spacing w:after="60"/>
              <w:ind w:left="85"/>
              <w:rPr>
                <w:rFonts w:cs="Arial"/>
                <w:color w:val="auto"/>
                <w:sz w:val="20"/>
                <w:lang w:val="hu-HU"/>
              </w:rPr>
            </w:pPr>
            <w:r w:rsidRPr="001B73B3">
              <w:rPr>
                <w:rFonts w:cs="Arial"/>
                <w:color w:val="auto"/>
                <w:sz w:val="20"/>
                <w:lang w:val="hu-HU"/>
              </w:rPr>
              <w:t>Erdélyi Zsolt</w:t>
            </w:r>
          </w:p>
          <w:p w:rsidR="005B7BFC" w:rsidRPr="001B73B3" w:rsidRDefault="0085556D">
            <w:pPr>
              <w:pStyle w:val="Standard"/>
              <w:spacing w:after="60"/>
              <w:ind w:left="85"/>
              <w:rPr>
                <w:color w:val="auto"/>
                <w:lang w:val="hu-HU"/>
              </w:rPr>
            </w:pPr>
            <w:r w:rsidRPr="001B73B3">
              <w:rPr>
                <w:rFonts w:cs="Arial"/>
                <w:color w:val="auto"/>
                <w:sz w:val="20"/>
                <w:lang w:val="hu-HU"/>
              </w:rPr>
              <w:t>1161 Budapest  Csömöri út 71</w:t>
            </w:r>
          </w:p>
        </w:tc>
      </w:tr>
    </w:tbl>
    <w:p w:rsidR="005B7BFC" w:rsidRDefault="005B7BFC">
      <w:pPr>
        <w:pStyle w:val="Alcm"/>
      </w:pPr>
      <w:r>
        <w:t>A felek:</w:t>
      </w:r>
    </w:p>
    <w:p w:rsidR="005B7BFC" w:rsidRDefault="005B7BFC">
      <w:r>
        <w:t>Ezen feltételek alkalmazhatóak a fent említett felekre, beleértve, de nem lekorlátozva azon munkatársakra, akik a megnevezett felekért vagy azok nevében járnak el.</w:t>
      </w:r>
    </w:p>
    <w:p w:rsidR="005B7BFC" w:rsidRDefault="005B7BFC">
      <w:pPr>
        <w:pStyle w:val="Alcm"/>
        <w:rPr>
          <w:rFonts w:eastAsia="Times New Roman"/>
          <w:lang w:eastAsia="hu-HU"/>
        </w:rPr>
      </w:pPr>
      <w:r>
        <w:t>Alkalmazhatóság</w:t>
      </w:r>
    </w:p>
    <w:p w:rsidR="005B7BFC" w:rsidRDefault="005B7BFC">
      <w:pPr>
        <w:rPr>
          <w:lang w:eastAsia="hu-HU"/>
        </w:rPr>
      </w:pPr>
      <w:r>
        <w:rPr>
          <w:rFonts w:eastAsia="Times New Roman"/>
          <w:lang w:eastAsia="hu-HU"/>
        </w:rPr>
        <w:t xml:space="preserve">A Címzett </w:t>
      </w:r>
      <w:r>
        <w:rPr>
          <w:rFonts w:eastAsia="Times New Roman"/>
          <w:b/>
          <w:lang w:eastAsia="hu-HU"/>
        </w:rPr>
        <w:t>magánszemélyként</w:t>
      </w:r>
      <w:r>
        <w:rPr>
          <w:rFonts w:eastAsia="Times New Roman"/>
          <w:lang w:eastAsia="hu-HU"/>
        </w:rPr>
        <w:t xml:space="preserve"> jár el</w:t>
      </w:r>
      <w:r>
        <w:t xml:space="preserve">, mivel valamennyi bank és „kormány” felszámolásra került. </w:t>
      </w:r>
      <w:r>
        <w:rPr>
          <w:rFonts w:eastAsia="Times New Roman"/>
          <w:lang w:eastAsia="hu-HU"/>
        </w:rPr>
        <w:t xml:space="preserve">(Referencia: UCC Doc # 2012127914 </w:t>
      </w:r>
      <w:hyperlink r:id="rId9" w:history="1">
        <w:r>
          <w:rPr>
            <w:rStyle w:val="Hiperhivatkozs"/>
          </w:rPr>
          <w:t>https://gov.propertyinfo.com/DC-Washington/</w:t>
        </w:r>
      </w:hyperlink>
      <w:r>
        <w:rPr>
          <w:rFonts w:eastAsia="Times New Roman"/>
          <w:lang w:eastAsia="hu-HU"/>
        </w:rPr>
        <w:t xml:space="preserve"> – regisztráció után, </w:t>
      </w:r>
      <w:r>
        <w:rPr>
          <w:rFonts w:eastAsia="Times New Roman"/>
          <w:b/>
          <w:lang w:eastAsia="hu-HU"/>
        </w:rPr>
        <w:t>személyesen is tájékozódhat a tényről.</w:t>
      </w:r>
      <w:r>
        <w:rPr>
          <w:rFonts w:eastAsia="Times New Roman"/>
          <w:lang w:eastAsia="hu-HU"/>
        </w:rPr>
        <w:t>)</w:t>
      </w:r>
    </w:p>
    <w:p w:rsidR="005B7BFC" w:rsidRDefault="005B7BFC">
      <w:r>
        <w:rPr>
          <w:lang w:eastAsia="hu-HU"/>
        </w:rPr>
        <w:t>A kormányi jogszabályok és a banki vagy más társasági szerződések hiányában, az egyetlen eszköz a törvényesen kötelező érvényű szerződés, amely a magánszemélyek közötti teljesítésre kötelez.</w:t>
      </w:r>
    </w:p>
    <w:p w:rsidR="005B7BFC" w:rsidRDefault="005B7BFC">
      <w:pPr>
        <w:pStyle w:val="Alcm"/>
      </w:pPr>
      <w:r>
        <w:t>A Címzett felelőssége</w:t>
      </w:r>
    </w:p>
    <w:p w:rsidR="005B7BFC" w:rsidRDefault="005B7BFC">
      <w:r>
        <w:t>A Címzett terhe és felelőssége, hogy Kellőképpen Igazolt Válasz formájában bizonyítékot szolgáltasson a felek között fennálló, törvényesen kötelező érvényű, vélt vagy követelt szerződésről. Ezen kívül minden követelt szerződésnek rendelkeznie kell a törvényesen kötelező érvényű szerződés minden elemével, beleértve, de ezekre nem lekorlátozódva: ajánlat, elfogadás, a tények valódiságán alapuló állítások, szándék és megfontolás, és mindezen elemek tudatos, szándékos és akaratlagos felfedése az Indítványozó számára.</w:t>
      </w:r>
    </w:p>
    <w:p w:rsidR="005B7BFC" w:rsidRDefault="005B7BFC">
      <w:r>
        <w:t>E törvényesen kötelező érvényű szerződés hiányában ezen az okirat elismeri a felek között fennálló feltételek jóhiszemű szerződésszerű ajánlatát, amelyre az elfogadhatóság alapján törvényesen kötelező érvényű szerződés jön létre.</w:t>
      </w:r>
    </w:p>
    <w:p w:rsidR="005B7BFC" w:rsidRDefault="005B7BFC">
      <w:r>
        <w:t>A Címzett felelőssége, hogy tájékoztassa a munkatársait és tanácsolja, hogy ezen feltételek szerint járjanak el a Címzett</w:t>
      </w:r>
      <w:r>
        <w:rPr>
          <w:b/>
        </w:rPr>
        <w:t xml:space="preserve"> </w:t>
      </w:r>
      <w:r>
        <w:t>helyett vagy nevében.</w:t>
      </w:r>
      <w:r>
        <w:rPr>
          <w:b/>
        </w:rPr>
        <w:t xml:space="preserve"> </w:t>
      </w:r>
    </w:p>
    <w:p w:rsidR="005B7BFC" w:rsidRDefault="005B7BFC">
      <w:r>
        <w:t>(Lásd: A-táblázat: Ezen feltételek elfogadásából származó szerződési kötelezettségek)</w:t>
      </w:r>
    </w:p>
    <w:p w:rsidR="005B7BFC" w:rsidRDefault="005B7BFC">
      <w:pPr>
        <w:pStyle w:val="Alcm"/>
      </w:pPr>
      <w:r>
        <w:t>Kellőképpen igazolt válasz</w:t>
      </w:r>
    </w:p>
    <w:p w:rsidR="005B7BFC" w:rsidRDefault="005B7BFC">
      <w:r>
        <w:t>Az ügy komolyságára való tekintettel, kizárólag azon válasz a Kellőképpen igazolt válasz, ami az alábbi kritériumoknak megfelel. A válasznak:</w:t>
      </w:r>
    </w:p>
    <w:p w:rsidR="005B7BFC" w:rsidRDefault="005B7BFC">
      <w:pPr>
        <w:numPr>
          <w:ilvl w:val="0"/>
          <w:numId w:val="2"/>
        </w:numPr>
      </w:pPr>
      <w:r>
        <w:t>megfelelő módon regisztrálva, érvényesnek kell lennie, és minden pont állapotának, értékének és cáfolatának igazolása hitelesítve kell, hogy legyen valamennyi részlet és sajátosság tekintetében</w:t>
      </w:r>
    </w:p>
    <w:p w:rsidR="005B7BFC" w:rsidRDefault="005B7BFC">
      <w:pPr>
        <w:numPr>
          <w:ilvl w:val="0"/>
          <w:numId w:val="2"/>
        </w:numPr>
      </w:pPr>
      <w:r>
        <w:t xml:space="preserve">amennyiben mástól küldi a választ, a Címzett aláírásával bizonyítania kell a hatóság (jogosultság) írásos átruházását </w:t>
      </w:r>
    </w:p>
    <w:p w:rsidR="005B7BFC" w:rsidRDefault="005B7BFC">
      <w:pPr>
        <w:numPr>
          <w:ilvl w:val="0"/>
          <w:numId w:val="2"/>
        </w:numPr>
      </w:pPr>
      <w:r>
        <w:t>olyan szavakat kell tartalmaznia, melyeket a közhasználatú szótárak segítségével értelmezhetőek (pl.: Magyar Értelmező kéziszótár</w:t>
      </w:r>
    </w:p>
    <w:p w:rsidR="005B7BFC" w:rsidRDefault="005B7BFC">
      <w:r>
        <w:t>A levelezést telefonos beszélgetéssel felváltani nem lehet.</w:t>
      </w:r>
    </w:p>
    <w:p w:rsidR="005B7BFC" w:rsidRDefault="005B7BFC">
      <w:r>
        <w:t>A jelen dokumentumnak a fax vagy digitális másolatát törvényesen kötelező érvényűnek, azaz az eredetivel megegyezőnek kell tekinteni.</w:t>
      </w:r>
    </w:p>
    <w:p w:rsidR="005B7BFC" w:rsidRDefault="005B7BFC">
      <w:pPr>
        <w:pStyle w:val="Alcm"/>
      </w:pPr>
      <w:r>
        <w:t>Az elutasítás módja</w:t>
      </w:r>
    </w:p>
    <w:p w:rsidR="001B73B3" w:rsidRDefault="005B7BFC">
      <w:r>
        <w:t xml:space="preserve">Semmisnek tekinthető az a szerződés, melyben a Címzett nem tesz olyan lépéseket, melyeket az A-táblázat tartalmaz. </w:t>
      </w:r>
    </w:p>
    <w:p w:rsidR="005B7BFC" w:rsidRDefault="005B7BFC">
      <w:r>
        <w:rPr>
          <w:i/>
        </w:rPr>
        <w:t>Ha n</w:t>
      </w:r>
      <w:r w:rsidRPr="001B73B3">
        <w:rPr>
          <w:i/>
        </w:rPr>
        <w:t>i</w:t>
      </w:r>
      <w:r>
        <w:rPr>
          <w:i/>
        </w:rPr>
        <w:t>ncs cselekvés, nincs szerződés</w:t>
      </w:r>
      <w:r>
        <w:t>.</w:t>
      </w:r>
    </w:p>
    <w:p w:rsidR="005B7BFC" w:rsidRDefault="005B7BFC">
      <w:pPr>
        <w:pStyle w:val="Alcm"/>
      </w:pPr>
      <w:r>
        <w:t>Az elfogadás módja</w:t>
      </w:r>
    </w:p>
    <w:p w:rsidR="005B7BFC" w:rsidRDefault="005B7BFC">
      <w:r>
        <w:t xml:space="preserve">A Címzett, vagy bármely más képviselője tudatosan elfogadja, hogy törvényesen kötelező érvényű szerződést köt, amennyiben az A-táblázatban felsorolt tevékenységek bármelyikét cselekszi. A cselekvés elfogadást jelent. </w:t>
      </w:r>
    </w:p>
    <w:p w:rsidR="005B7BFC" w:rsidRDefault="005B7BFC">
      <w:pPr>
        <w:pStyle w:val="Alcm"/>
      </w:pPr>
      <w:r>
        <w:t>Az elfogadás feltételei</w:t>
      </w:r>
    </w:p>
    <w:p w:rsidR="005B7BFC" w:rsidRDefault="005B7BFC">
      <w:pPr>
        <w:spacing w:after="0"/>
      </w:pPr>
      <w:r>
        <w:t>Az „elfogadás” a Címzett jóváhagyásával a következőket jelenti:</w:t>
      </w:r>
    </w:p>
    <w:p w:rsidR="005B7BFC" w:rsidRDefault="005B7BFC">
      <w:pPr>
        <w:numPr>
          <w:ilvl w:val="0"/>
          <w:numId w:val="3"/>
        </w:numPr>
        <w:spacing w:before="120" w:after="0"/>
        <w:ind w:left="714" w:hanging="357"/>
      </w:pPr>
      <w:r>
        <w:t>Az itt megállapított feltételekkel való egyetértés.</w:t>
      </w:r>
    </w:p>
    <w:p w:rsidR="005B7BFC" w:rsidRDefault="005B7BFC">
      <w:pPr>
        <w:numPr>
          <w:ilvl w:val="0"/>
          <w:numId w:val="3"/>
        </w:numPr>
        <w:spacing w:before="120" w:after="0"/>
        <w:ind w:left="714" w:hanging="357"/>
      </w:pPr>
      <w:r>
        <w:t>Az A-táblázatban megállapított díjak feltétel nélküli elfogadása.</w:t>
      </w:r>
    </w:p>
    <w:p w:rsidR="005B7BFC" w:rsidRDefault="005B7BFC">
      <w:pPr>
        <w:numPr>
          <w:ilvl w:val="0"/>
          <w:numId w:val="3"/>
        </w:numPr>
        <w:spacing w:before="120" w:after="0"/>
        <w:ind w:left="714" w:hanging="357"/>
      </w:pPr>
      <w:r>
        <w:t>A Címzett visszavonhatatlanul és feltétel nélkül lemond az ellenvetés, a mentelmi jog és a védelem bármilyen és valamennyi jogáról.</w:t>
      </w:r>
    </w:p>
    <w:p w:rsidR="005B7BFC" w:rsidRDefault="005B7BFC">
      <w:pPr>
        <w:pStyle w:val="Cmsor3"/>
        <w:pageBreakBefore/>
        <w:spacing w:before="120"/>
      </w:pPr>
      <w:r>
        <w:lastRenderedPageBreak/>
        <w:t>A táblázat</w:t>
      </w:r>
    </w:p>
    <w:p w:rsidR="005B7BFC" w:rsidRDefault="005B7BFC">
      <w:pPr>
        <w:spacing w:after="0"/>
      </w:pPr>
      <w:r>
        <w:rPr>
          <w:b/>
        </w:rPr>
        <w:t>Árfolyam:</w:t>
      </w:r>
      <w:r>
        <w:t xml:space="preserve"> </w:t>
      </w:r>
      <w:r>
        <w:tab/>
        <w:t>mértékenként egy uncia* (31,103 gramm) 99,9 %-os tisztaságú színezüst.</w:t>
      </w:r>
    </w:p>
    <w:p w:rsidR="005B7BFC" w:rsidRDefault="005B7BFC">
      <w:pPr>
        <w:spacing w:after="0"/>
        <w:ind w:left="1418"/>
        <w:rPr>
          <w:b/>
        </w:rPr>
      </w:pPr>
      <w:r>
        <w:t>Azért az ezüst, mivel a korábbi jogi személyek, melyek korábban valutákat bocsátottak ki, felszámolásra kerültek.</w:t>
      </w:r>
    </w:p>
    <w:p w:rsidR="005B7BFC" w:rsidRDefault="005B7BFC">
      <w:pPr>
        <w:rPr>
          <w:rStyle w:val="hps"/>
          <w:b/>
          <w:sz w:val="22"/>
        </w:rPr>
      </w:pPr>
      <w:r>
        <w:rPr>
          <w:b/>
        </w:rPr>
        <w:t>Behajtási</w:t>
      </w:r>
      <w:r>
        <w:rPr>
          <w:rStyle w:val="hps"/>
          <w:b/>
          <w:sz w:val="22"/>
        </w:rPr>
        <w:t xml:space="preserve"> </w:t>
      </w:r>
      <w:r>
        <w:rPr>
          <w:b/>
        </w:rPr>
        <w:t>díjak</w:t>
      </w:r>
      <w:r>
        <w:rPr>
          <w:rStyle w:val="hps"/>
          <w:b/>
          <w:sz w:val="22"/>
        </w:rPr>
        <w:t>:</w:t>
      </w:r>
      <w:r>
        <w:rPr>
          <w:rStyle w:val="hps"/>
          <w:sz w:val="22"/>
        </w:rPr>
        <w:t xml:space="preserve"> </w:t>
      </w:r>
      <w:r>
        <w:t>A</w:t>
      </w:r>
      <w:r>
        <w:rPr>
          <w:rStyle w:val="hps"/>
          <w:sz w:val="22"/>
        </w:rPr>
        <w:t xml:space="preserve"> </w:t>
      </w:r>
      <w:r>
        <w:t>behajtási</w:t>
      </w:r>
      <w:r>
        <w:rPr>
          <w:rStyle w:val="hps"/>
          <w:sz w:val="22"/>
        </w:rPr>
        <w:t xml:space="preserve"> </w:t>
      </w:r>
      <w:r>
        <w:t>költségek</w:t>
      </w:r>
      <w:r>
        <w:rPr>
          <w:rStyle w:val="hps"/>
          <w:sz w:val="22"/>
        </w:rPr>
        <w:t xml:space="preserve"> </w:t>
      </w:r>
      <w:r>
        <w:t>hozzáadódnak</w:t>
      </w:r>
      <w:r>
        <w:rPr>
          <w:rStyle w:val="hps"/>
          <w:sz w:val="22"/>
        </w:rPr>
        <w:t xml:space="preserve"> </w:t>
      </w:r>
      <w:r>
        <w:t>a</w:t>
      </w:r>
      <w:r>
        <w:rPr>
          <w:rStyle w:val="hps"/>
          <w:sz w:val="22"/>
        </w:rPr>
        <w:t xml:space="preserve"> </w:t>
      </w:r>
      <w:r>
        <w:t>kiegyenlítetlen</w:t>
      </w:r>
      <w:r>
        <w:rPr>
          <w:rStyle w:val="hps"/>
          <w:sz w:val="22"/>
        </w:rPr>
        <w:t xml:space="preserve"> </w:t>
      </w:r>
      <w:r>
        <w:t>számlákhoz</w:t>
      </w:r>
      <w:r>
        <w:rPr>
          <w:color w:val="1F497D"/>
        </w:rPr>
        <w:t>.</w:t>
      </w:r>
    </w:p>
    <w:p w:rsidR="005B7BFC" w:rsidRDefault="005B7BFC">
      <w:pPr>
        <w:rPr>
          <w:b/>
          <w:sz w:val="22"/>
        </w:rPr>
      </w:pPr>
      <w:r>
        <w:rPr>
          <w:rStyle w:val="hps"/>
          <w:b/>
          <w:sz w:val="22"/>
        </w:rPr>
        <w:t>D</w:t>
      </w:r>
      <w:r>
        <w:rPr>
          <w:rStyle w:val="CharChar1"/>
        </w:rPr>
        <w:t>í</w:t>
      </w:r>
      <w:r>
        <w:rPr>
          <w:rStyle w:val="hps"/>
          <w:b/>
          <w:sz w:val="22"/>
        </w:rPr>
        <w:t>jak:</w:t>
      </w:r>
    </w:p>
    <w:tbl>
      <w:tblPr>
        <w:tblW w:w="0" w:type="auto"/>
        <w:tblInd w:w="-5" w:type="dxa"/>
        <w:tblLayout w:type="fixed"/>
        <w:tblLook w:val="0000"/>
      </w:tblPr>
      <w:tblGrid>
        <w:gridCol w:w="818"/>
        <w:gridCol w:w="7856"/>
        <w:gridCol w:w="1870"/>
      </w:tblGrid>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sz w:val="22"/>
              </w:rPr>
            </w:pPr>
            <w:r>
              <w:rPr>
                <w:b/>
                <w:sz w:val="22"/>
              </w:rPr>
              <w:t>Szám</w:t>
            </w:r>
          </w:p>
        </w:tc>
        <w:tc>
          <w:tcPr>
            <w:tcW w:w="7856" w:type="dxa"/>
            <w:tcBorders>
              <w:top w:val="single" w:sz="4" w:space="0" w:color="000000"/>
              <w:left w:val="single" w:sz="4" w:space="0" w:color="000000"/>
              <w:bottom w:val="single" w:sz="4" w:space="0" w:color="000000"/>
            </w:tcBorders>
            <w:shd w:val="clear" w:color="auto" w:fill="auto"/>
          </w:tcPr>
          <w:p w:rsidR="005B7BFC" w:rsidRDefault="005B7BFC">
            <w:pPr>
              <w:rPr>
                <w:b/>
                <w:sz w:val="22"/>
              </w:rPr>
            </w:pPr>
            <w:r>
              <w:rPr>
                <w:b/>
                <w:sz w:val="22"/>
              </w:rPr>
              <w:t>Leírás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rPr>
                <w:b/>
                <w:sz w:val="22"/>
              </w:rPr>
              <w:t>Díjszabás</w:t>
            </w:r>
            <w:r>
              <w:rPr>
                <w:sz w:val="22"/>
              </w:rPr>
              <w:t xml:space="preserve"> (Ezüst unciában mérve)</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1.</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Bármilyen követelés egy törvényesen kötelező érvényű, a felek közti szerződés hiányában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2.000*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2.</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A már felszámolt jogi entitás bármely előzetesen kibocsájtott okiratának érvényesítése, vagy erre való kísérlet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2.000*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rFonts w:eastAsia="Arial"/>
                <w:b/>
              </w:rPr>
            </w:pPr>
            <w:r>
              <w:t>3.</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rFonts w:eastAsia="Arial"/>
                <w:b/>
              </w:rPr>
              <w:t>„</w:t>
            </w:r>
            <w:r>
              <w:rPr>
                <w:b/>
              </w:rPr>
              <w:t>Bíróság” által hozott ítéletet érvényesítése, vagy az erre való próbálkozás</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5.000*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4.</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Bármilyen harmadik fél szolgáltatásának bevonása egy törvényesen kötelező érvényű, a felek közti szerződés hiányában</w:t>
            </w:r>
            <w:r>
              <w:rPr>
                <w:color w:val="1F497D"/>
              </w:rPr>
              <w:t xml:space="preserv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10.000*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5.</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 xml:space="preserve">A magánélet/titok megsértése, beleértve, de nem kizárólagosan értve ennek bármilyen formáját, így értesítést vagy levelet bárkinek és bárhova másnak elküldeni, mint az Indítványozó által feltüntetett címre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500*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6.</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Törvénytelen fizikai vagy nem-fizikai fenyegetés, beleértve, de nem kizárólag minden büntetőeljárással, fogva tartással, testi sérüléssel vagy jogi intézkedéssel való fenyegetést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4.000*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7.</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Jogellenes fizikai bántalmazás, beleértve az Indítványozó korlátozását vagy őt ért testi sértést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10.000*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 xml:space="preserve">8. </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A Címzett, vagy az általa felbujtott személy által okozott, az Indítványozó magántulajdonában vagy javaiban tett jogellenes, megjavítható kár</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5.000*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 xml:space="preserve">9. </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Az Indítványozó magántulajdonában vagy javaiban tett jogellenes károkozás, beleértve, de nem kizárólag, a helyrehozhatatlan kárt.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10.000*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10.</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Az Indítványozó magántulajdonának vagy javainak törvénytelen követelése, beleértve, de nem kizárólag, az értékesítést vagy árverést.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5.000*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11.</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Más, nem szerződő fél elleni cselekmény, ami az Indítványozónak kárt okoz, a felek közti törvényesen kötelező érvényű szerződés hiányában, beleértve, de nem kizárólag, az Indítványozó mérhető erőfeszítésének kárát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1.000*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12.</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Minden egyes telefonhívás, melyet a Címzett eszközöl, hogy érvényesítse a követelést egy törvényesen kötelező érvényű, a felek közti szerződés hiányában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1.000*</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13.</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Az Indítványozó magántulajdonának vagy javainak birtokba vétele a követelés fizetésének biztosítékaként egy törvényesen kötelező érvényű, a felek közti szerződés hiányában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1.000* (naptári naponként)</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14.</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Az Indítványozó magántulajdonának vagy javainak minden egyes napi követelése, beleértve, de nem kizárólag, a zálogjog bejegyzését egy törvényesen kötelező érvényű szerződés hiányában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500* (naptári naponként)</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15.</w:t>
            </w:r>
          </w:p>
        </w:tc>
        <w:tc>
          <w:tcPr>
            <w:tcW w:w="7856" w:type="dxa"/>
            <w:tcBorders>
              <w:top w:val="single" w:sz="4" w:space="0" w:color="000000"/>
              <w:left w:val="single" w:sz="4" w:space="0" w:color="000000"/>
              <w:bottom w:val="single" w:sz="4" w:space="0" w:color="000000"/>
            </w:tcBorders>
            <w:shd w:val="clear" w:color="auto" w:fill="auto"/>
          </w:tcPr>
          <w:p w:rsidR="005B7BFC" w:rsidRDefault="005B7BFC">
            <w:r>
              <w:rPr>
                <w:b/>
              </w:rPr>
              <w:t>Jogtalan letartóztatás vagy fogva tartás naptári naponként vagy annak egy részében</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r>
              <w:t>1.000* (naptári naponként)</w:t>
            </w:r>
          </w:p>
        </w:tc>
      </w:tr>
      <w:tr w:rsidR="005B7BFC">
        <w:tc>
          <w:tcPr>
            <w:tcW w:w="818" w:type="dxa"/>
            <w:tcBorders>
              <w:top w:val="single" w:sz="4" w:space="0" w:color="000000"/>
              <w:left w:val="single" w:sz="4" w:space="0" w:color="000000"/>
              <w:bottom w:val="single" w:sz="4" w:space="0" w:color="000000"/>
            </w:tcBorders>
            <w:shd w:val="clear" w:color="auto" w:fill="auto"/>
          </w:tcPr>
          <w:p w:rsidR="005B7BFC" w:rsidRDefault="005B7BFC">
            <w:pPr>
              <w:rPr>
                <w:b/>
              </w:rPr>
            </w:pPr>
            <w:r>
              <w:t xml:space="preserve">16. </w:t>
            </w:r>
          </w:p>
        </w:tc>
        <w:tc>
          <w:tcPr>
            <w:tcW w:w="7856" w:type="dxa"/>
            <w:tcBorders>
              <w:top w:val="single" w:sz="4" w:space="0" w:color="000000"/>
              <w:left w:val="single" w:sz="4" w:space="0" w:color="000000"/>
              <w:bottom w:val="single" w:sz="4" w:space="0" w:color="000000"/>
            </w:tcBorders>
            <w:shd w:val="clear" w:color="auto" w:fill="auto"/>
          </w:tcPr>
          <w:p w:rsidR="005B7BFC" w:rsidRDefault="005B7BFC">
            <w:pPr>
              <w:rPr>
                <w:b/>
              </w:rPr>
            </w:pPr>
            <w:r>
              <w:rPr>
                <w:b/>
              </w:rPr>
              <w:t>Bármilyen és mindennemű magánpénzrendszer érvényesítése és fenntartása, (kibocsátás, beszedés, jogérvényesítő rendszerek) mely a RABSZOLGA-RENDSZERT működteti és a „One People**” ellen irányul</w:t>
            </w:r>
          </w:p>
          <w:p w:rsidR="005B7BFC" w:rsidRDefault="005B7BFC">
            <w:r>
              <w:rPr>
                <w:b/>
              </w:rPr>
              <w:t>**A „One People”-t a UCC 20122079290 doc. határozza meg</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5B7BFC" w:rsidRDefault="005B7BFC">
            <w:pPr>
              <w:rPr>
                <w:b/>
              </w:rPr>
            </w:pPr>
            <w:r>
              <w:t>1.000* (naptári naponként)</w:t>
            </w:r>
          </w:p>
        </w:tc>
      </w:tr>
    </w:tbl>
    <w:p w:rsidR="005B7BFC" w:rsidRDefault="005B7BFC">
      <w:r>
        <w:rPr>
          <w:b/>
        </w:rPr>
        <w:t>Megjegyzés:</w:t>
      </w:r>
      <w:r>
        <w:t xml:space="preserve"> Törvényesen kötelező érvényű, jogszerű szerződés hiányában bármilyen díj, költség vagy számla járulékos alapon kiszámlázott tétele, így például, de nem kizárólag, bármilyen kamatösszetevője, külön ügyként lesz kezelve. A növekmény egységét a kiszámlázott esetek száma fogja meghatározni.</w:t>
      </w:r>
    </w:p>
    <w:p w:rsidR="005B7BFC" w:rsidRDefault="005B7BFC">
      <w:pPr>
        <w:pStyle w:val="Cmsor3"/>
      </w:pPr>
      <w:r>
        <w:t>A feltételek változása</w:t>
      </w:r>
    </w:p>
    <w:p w:rsidR="005B7BFC" w:rsidRDefault="005B7BFC">
      <w:r>
        <w:t>A feltételek idővel változhatnak. Ebben az esetben a Címzettnek új feltételek kerülnek felajánlásra, melyek bármilyen korábbi feltételeket hatálytalanítanak vagy eltörölnek.</w:t>
      </w:r>
    </w:p>
    <w:p w:rsidR="005B7BFC" w:rsidRDefault="005B7BFC">
      <w:pPr>
        <w:pStyle w:val="StlusCmsor1Arial"/>
        <w:pageBreakBefore/>
        <w:spacing w:before="120"/>
      </w:pPr>
      <w:bookmarkStart w:id="0" w:name="OPPT"/>
      <w:bookmarkEnd w:id="0"/>
      <w:r>
        <w:lastRenderedPageBreak/>
        <w:t>További információk</w:t>
      </w:r>
    </w:p>
    <w:p w:rsidR="005B7BFC" w:rsidRDefault="005B7BFC">
      <w:r>
        <w:t>Az OPPT (One People Public Trust – Egy Emberiség Nyilvános Érdekképviselet) dokumentumaival kapcsolatos, 2012. december 25-én kiadott hírek mára szélsebesen bejárták a világot. A jogi változások világszerte százezreket, lassan milliókat felölelő, alulról jövő mozgalmakat indítottak el. Az emberek meg akarnak szabadulni a régi rabszolgatartó rendszertől, hogy végre a szabad akaratuk szerint, szabad életet élhessenek, és szabadon dönthessenek ügyeikről. A jelenlegi rendszerek kudarcot vallottak, létüket csakis mesterséges erőfeszítéseknek köszönhették, és a felszámolás előtt már csak a végső energiatartalékaikból próbáltak üzemképesek maradni. Az OPPT dokumentumok lehetővé teszik, hogy az emberek kilépjenek e kudarcot vallott rendszerek árnyékából, és közösen új civilizációt teremthessenek, amely a vágyaikra és a szabad akaratra épül, egy olyan világot, ahol az ember a legtöbb jóért cselekedhet, és ahol mindannyian bőségben élhetünk.</w:t>
      </w:r>
    </w:p>
    <w:p w:rsidR="005B7BFC" w:rsidRDefault="005B7BFC">
      <w:pPr>
        <w:pStyle w:val="Cmsor3"/>
        <w:spacing w:before="120"/>
      </w:pPr>
      <w:r>
        <w:t>Mi az az OPPT?</w:t>
      </w:r>
    </w:p>
    <w:p w:rsidR="005B7BFC" w:rsidRDefault="005B7BFC">
      <w:pPr>
        <w:spacing w:after="60"/>
      </w:pPr>
      <w:r>
        <w:t>Az OPPT magába foglalja a bolygónkon élő valamennyi embert, a bolygót magát, és a Teremtőt.</w:t>
      </w:r>
    </w:p>
    <w:p w:rsidR="005B7BFC" w:rsidRDefault="005B7BFC">
      <w:pPr>
        <w:spacing w:after="60"/>
      </w:pPr>
      <w:r>
        <w:t>Az OPPT megbízottjai igen képzett egyének, köztük hivatásos jogászok csapata, akik a pénzügyi rendszerben dolgozó jóindulatú csoportokkal közösen átfogó nyomozást indítottak a mindenkit érintő hatalmas csalás- és lopássorozat feltárására.</w:t>
      </w:r>
    </w:p>
    <w:p w:rsidR="005B7BFC" w:rsidRDefault="005B7BFC">
      <w:pPr>
        <w:spacing w:after="60"/>
      </w:pPr>
      <w:r>
        <w:t xml:space="preserve">A mindenre kiterjedő, különös alapossággal végzett nyomozás után az OPPT arra jutott, hogy a népi választású kormányzatoknak álcázott magánvállalatok és a pénzügyi rendszer szereplői árulást követtek el a bolygó lakosaival szemben, azok tudta, akarata és beleegyezése nélkül. A Létezés és az emberiség, valamint a bolygó szárazföldi, vízi, égi javainak és egyéb teremtményei státuszának jogszerű REGISZTRÁLÁSÁVAL, a korábbi vezetők, ügynökeik és haszonélvezők minden tulajdonra és irányításra vonatkozó jogait törvényesen eltörölték, és felszámolás alá helyezték őket, mivel szabad akaratukból úgy döntöttek, nem hozzák helyre az általuk okozott károkat. A nyomozati anyagok alapján készült jelentést itt lehet megtekinteni.: </w:t>
      </w:r>
      <w:hyperlink r:id="rId10" w:history="1">
        <w:r>
          <w:rPr>
            <w:rStyle w:val="Hiperhivatkozs"/>
          </w:rPr>
          <w:t>http://www.scribd.com/doc/118067922/PARADIGM-DOCUMENT-FROM-THE-TREASURY-FINANCE-AG-INDUSTRIESTRASSE-</w:t>
        </w:r>
        <w:r>
          <w:rPr>
            <w:rStyle w:val="Hiperhivatkozs"/>
          </w:rPr>
          <w:t>2</w:t>
        </w:r>
        <w:r>
          <w:rPr>
            <w:rStyle w:val="Hiperhivatkozs"/>
          </w:rPr>
          <w:t>1-CH-6055ALPNACH-DORF-SWITZERLAND</w:t>
        </w:r>
      </w:hyperlink>
      <w:r>
        <w:t xml:space="preserve"> </w:t>
      </w:r>
    </w:p>
    <w:p w:rsidR="005B7BFC" w:rsidRPr="0085556D" w:rsidRDefault="005B7BFC">
      <w:pPr>
        <w:spacing w:after="60"/>
        <w:rPr>
          <w:b/>
          <w:sz w:val="18"/>
          <w:szCs w:val="18"/>
        </w:rPr>
      </w:pPr>
      <w:r>
        <w:t>Jelenleg a törvények szerint az OPPT őrzi, védelmezi és felügyeli valamennyi létező értéket, köztük a bankrendszer által visszaélésekre használt arany- és ezüstkészleteket. E bolygó emberisége, és valamennyi lakója – szintén az OPPT által őrizve, védve és felügyelve – egyénként és közösen kizárólagos és törvényes kibocsátói minden érték JELKÉPÉNEK, különösképpen a pénz valamennyi formájának. Az úgynevezett fő banki rendszerek immár semmilyen valós fedezettel nem rendelkeznek. Az OPPT képviselői visszajuttattak és elkülönítettek egy bizonyos összeget minden egyén számára. Ez az összeg sokszorosan meghaladja bármelyikünk adósságának értékét</w:t>
      </w:r>
      <w:r w:rsidRPr="0085556D">
        <w:rPr>
          <w:b/>
        </w:rPr>
        <w:t>. Az adósságok ugyanakkor eltörlésre kerültek, mivel a bankok soha nem tudták dokumentumokkal igazolniuk, hogy tényleges kölcsönt biztosítottak volna bárkinek, ezért törvény szerint, tényszerűen és az érvényben lévő irányelvek alapján a bankok ezáltal tudatosan döntöttek önmaguk működési engedélyének visszavonásáról, vagyonuk lefoglalásáról.</w:t>
      </w:r>
    </w:p>
    <w:p w:rsidR="005B7BFC" w:rsidRPr="0085556D" w:rsidRDefault="005B7BFC">
      <w:pPr>
        <w:spacing w:after="60"/>
        <w:rPr>
          <w:szCs w:val="19"/>
        </w:rPr>
      </w:pPr>
      <w:r w:rsidRPr="0085556D">
        <w:rPr>
          <w:szCs w:val="19"/>
        </w:rPr>
        <w:t xml:space="preserve">A világban hatalmas változások történtek. Immár mindannyian teljes személyes felelősséggel és </w:t>
      </w:r>
      <w:r w:rsidR="00B37661" w:rsidRPr="0085556D">
        <w:rPr>
          <w:szCs w:val="19"/>
        </w:rPr>
        <w:t>számon kérhetőséggel</w:t>
      </w:r>
      <w:r w:rsidRPr="0085556D">
        <w:rPr>
          <w:szCs w:val="19"/>
        </w:rPr>
        <w:t xml:space="preserve"> tartozunk tetteinkért.</w:t>
      </w:r>
    </w:p>
    <w:p w:rsidR="005B7BFC" w:rsidRDefault="005B7BFC">
      <w:pPr>
        <w:spacing w:after="60"/>
      </w:pPr>
      <w:r>
        <w:t xml:space="preserve">Az OPPT képviselői párhuzamosan megalkották a régi rendszereket helyettesítő a CVAC, azaz Teremtő Érték és Vagyon Központokat. A CVAC-rendszer épp az ellenkezője a korrupt, kívülről irányított egykori kormányzati rendszereknek. Ezek tényszerűen, jogszerűen, irányelv szerint bejegyzett , REGISZTRÁLT entitások, melyeket az egyéni emberek birtokolnak és irányíthatnak egymással együttműködve, azzal a céllal, hogy segítséget nyújtsanak az emberi igények és szükségletek </w:t>
      </w:r>
      <w:r w:rsidR="00B37661">
        <w:t>magas szintű</w:t>
      </w:r>
      <w:r>
        <w:t xml:space="preserve"> kielégítése céljából, </w:t>
      </w:r>
      <w:r w:rsidR="00B37661">
        <w:t>bolygó szerte</w:t>
      </w:r>
      <w:r>
        <w:t xml:space="preserve">, a szabad emberi akarat teljes tiszteletben tartása mellett. </w:t>
      </w:r>
    </w:p>
    <w:p w:rsidR="005B7BFC" w:rsidRDefault="005B7BFC">
      <w:pPr>
        <w:spacing w:after="60"/>
      </w:pPr>
      <w:r>
        <w:t xml:space="preserve">A CVAC rendszer az egész bolygót átfogó, szoros kapcsolati hálózati rendszer, amelyet csakis a közszolgálatra felesküdött, teljes és folyamatos felelősséggel és </w:t>
      </w:r>
      <w:r w:rsidR="00B37661">
        <w:t>számon kérhetőséggel</w:t>
      </w:r>
      <w:r>
        <w:t xml:space="preserve"> tartozó egyének irányíthatnak. A CVAC és alcsoportjai a Föld valamennyi lakóját szolgálják. Minden korábbi nemzet számára egy-egy CVAC-csoport tartozik. E korábban elképzelhetetlen mértékű változások még csak most indulnak be igazán.</w:t>
      </w:r>
    </w:p>
    <w:p w:rsidR="005B7BFC" w:rsidRDefault="005B7BFC">
      <w:pPr>
        <w:spacing w:after="60"/>
      </w:pPr>
      <w:r>
        <w:t>Miért tűnik akkor az élet olyannak, mint volt? A régi rendszer jelenleg tagadja a változásokat, és bár a legmagasabb szinteken folyamatos tárgyalások zajlanak most is, az OPPT-vel kapcsolatos információkat a régi rendszer által vezérelt fő médiacsatornák agyonhallgatják, nehogy az emberek tudomására jussanak a történt változások. A CVAC-rendszer küszöbön álló aktiválása változtatni fog ezen a dolgon.</w:t>
      </w:r>
    </w:p>
    <w:p w:rsidR="005B7BFC" w:rsidRDefault="005B7BFC">
      <w:pPr>
        <w:pStyle w:val="Cmsor3"/>
        <w:spacing w:before="120"/>
      </w:pPr>
      <w:r>
        <w:t>Felelősség és felkérés</w:t>
      </w:r>
    </w:p>
    <w:p w:rsidR="005B7BFC" w:rsidRDefault="005B7BFC">
      <w:pPr>
        <w:spacing w:after="60"/>
      </w:pPr>
      <w:r>
        <w:t>Íme, Ön előtt hever ez a dokumentum, és most már Ön is tudja, mi történik a világban. Ön szintén szereplője ezeknek az alapvető változásoknak.</w:t>
      </w:r>
    </w:p>
    <w:p w:rsidR="005B7BFC" w:rsidRDefault="005B7BFC">
      <w:pPr>
        <w:spacing w:after="60"/>
      </w:pPr>
      <w:r>
        <w:t>Ez egy törvényes és jogszerű felhívás olyan egyének figyelmeztetésére, akik az új rend tényeinek figyelmen kívül hagyásával tudatosan, önként és szándékosan elbitorolják, megsértik, hatalmuk alá vonják, leértékelik, leigázzák vagy korlátozzák e bolygó bármelyik másik lakosát.</w:t>
      </w:r>
    </w:p>
    <w:p w:rsidR="005B7BFC" w:rsidRDefault="005B7BFC">
      <w:pPr>
        <w:spacing w:after="60"/>
      </w:pPr>
      <w:r>
        <w:t>Ugyanakkor ez egy meghívó is, hogy az illető tisztán és becsülettel vegyen részt ezen, a történelemben korábban példátlan változások kiteljesítésében.</w:t>
      </w:r>
    </w:p>
    <w:p w:rsidR="005B7BFC" w:rsidRDefault="005B7BFC">
      <w:pPr>
        <w:spacing w:after="60"/>
      </w:pPr>
      <w:r>
        <w:t xml:space="preserve">Az előttünk álló hónapok során a világ elképzelhetetlen mértékben meg fog változni. Megismerjük valódi történelmünket, és bepillantást nyerhetünk azon rendszer összefüggéseibe, amelyben korábban élnünk kellett. Számtalan technológiai vívmányt tartottak eddig elrejtve előttünk, többek között az </w:t>
      </w:r>
      <w:r w:rsidR="00B37661">
        <w:t>energia előállítás</w:t>
      </w:r>
      <w:r>
        <w:t>, a gyógyászat és a szállítás területén. A világban folyamatosan születnek csoportok, akik arra törekszenek, hogy az érvényes OPPT-iratok igazságait miként fordítsák leginkább embertársaik javára.</w:t>
      </w:r>
    </w:p>
    <w:p w:rsidR="005B7BFC" w:rsidRDefault="005B7BFC">
      <w:pPr>
        <w:spacing w:after="60"/>
        <w:rPr>
          <w:sz w:val="18"/>
          <w:szCs w:val="18"/>
        </w:rPr>
      </w:pPr>
      <w:r>
        <w:t>Sokan dolgoznak ezen információk elterjesztésén is, hogy mire a CVAC-rendszer teljes energiával bevezetésre kerül, minél többen értesüljenek a változásokról.</w:t>
      </w:r>
    </w:p>
    <w:p w:rsidR="005B7BFC" w:rsidRPr="0085556D" w:rsidRDefault="005B7BFC">
      <w:pPr>
        <w:spacing w:after="60"/>
        <w:rPr>
          <w:rFonts w:cs="Abbess"/>
          <w:spacing w:val="106"/>
          <w:szCs w:val="19"/>
        </w:rPr>
      </w:pPr>
      <w:r w:rsidRPr="0085556D">
        <w:rPr>
          <w:szCs w:val="19"/>
        </w:rPr>
        <w:t xml:space="preserve">További információkért kérjük, keresse fel a hivatalos </w:t>
      </w:r>
      <w:hyperlink r:id="rId11" w:history="1">
        <w:r w:rsidRPr="0085556D">
          <w:rPr>
            <w:rStyle w:val="Hiperhivatkozs"/>
            <w:szCs w:val="19"/>
          </w:rPr>
          <w:t>www.I-UV.com</w:t>
        </w:r>
      </w:hyperlink>
      <w:r w:rsidRPr="0085556D">
        <w:rPr>
          <w:szCs w:val="19"/>
        </w:rPr>
        <w:t xml:space="preserve"> honlapot.</w:t>
      </w:r>
    </w:p>
    <w:sectPr w:rsidR="005B7BFC" w:rsidRPr="0085556D" w:rsidSect="002B385E">
      <w:footerReference w:type="default" r:id="rId12"/>
      <w:pgSz w:w="11906" w:h="16838" w:code="9"/>
      <w:pgMar w:top="794" w:right="794" w:bottom="794" w:left="79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28" w:rsidRDefault="00451B28">
      <w:r>
        <w:separator/>
      </w:r>
    </w:p>
  </w:endnote>
  <w:endnote w:type="continuationSeparator" w:id="0">
    <w:p w:rsidR="00451B28" w:rsidRDefault="00451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ヒラギノ角ゴ Pro W3">
    <w:charset w:val="00"/>
    <w:family w:val="roman"/>
    <w:pitch w:val="default"/>
    <w:sig w:usb0="00000000" w:usb1="00000000" w:usb2="00000000" w:usb3="00000000" w:csb0="0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bbess">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CA" w:rsidRPr="002B385E" w:rsidRDefault="008358CA" w:rsidP="0081642E">
    <w:pPr>
      <w:tabs>
        <w:tab w:val="right" w:pos="10318"/>
      </w:tabs>
      <w:suppressAutoHyphens w:val="0"/>
      <w:spacing w:before="100" w:beforeAutospacing="1" w:after="85"/>
      <w:jc w:val="center"/>
      <w:rPr>
        <w:rFonts w:ascii="Times New Roman" w:eastAsia="Times New Roman" w:hAnsi="Times New Roman" w:cs="Times New Roman"/>
        <w:sz w:val="24"/>
        <w:szCs w:val="24"/>
        <w:lang w:eastAsia="hu-HU"/>
      </w:rPr>
    </w:pPr>
    <w:fldSimple w:instr=" PAGE ">
      <w:r w:rsidR="008461BC">
        <w:rPr>
          <w:noProof/>
        </w:rPr>
        <w:t>1</w:t>
      </w:r>
    </w:fldSimple>
    <w:r>
      <w:rPr>
        <w:lang w:val="en-US"/>
      </w:rPr>
      <w:t>/</w:t>
    </w:r>
    <w:fldSimple w:instr=" NUMPAGES \*Arabic ">
      <w:r w:rsidR="008461BC">
        <w:rPr>
          <w:noProof/>
        </w:rPr>
        <w:t>5</w:t>
      </w:r>
    </w:fldSimple>
    <w:r>
      <w:t>. oldal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28" w:rsidRDefault="00451B28">
      <w:r>
        <w:separator/>
      </w:r>
    </w:p>
  </w:footnote>
  <w:footnote w:type="continuationSeparator" w:id="0">
    <w:p w:rsidR="00451B28" w:rsidRDefault="00451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2">
    <w:nsid w:val="00000003"/>
    <w:multiLevelType w:val="multilevel"/>
    <w:tmpl w:val="00000003"/>
    <w:name w:val="WW8Num13"/>
    <w:lvl w:ilvl="0">
      <w:start w:val="1"/>
      <w:numFmt w:val="decimal"/>
      <w:lvlText w:val="%1."/>
      <w:lvlJc w:val="left"/>
      <w:pPr>
        <w:tabs>
          <w:tab w:val="num" w:pos="0"/>
        </w:tabs>
        <w:ind w:left="720" w:hanging="360"/>
      </w:pPr>
      <w:rPr>
        <w:rFonts w:ascii="Calibri" w:hAnsi="Calibri" w:cs="Calibri"/>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000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B385E"/>
    <w:rsid w:val="000C11E7"/>
    <w:rsid w:val="00197737"/>
    <w:rsid w:val="001B73B3"/>
    <w:rsid w:val="00217512"/>
    <w:rsid w:val="002B385E"/>
    <w:rsid w:val="002C0C2A"/>
    <w:rsid w:val="004267C7"/>
    <w:rsid w:val="00451B28"/>
    <w:rsid w:val="004A132C"/>
    <w:rsid w:val="0058182E"/>
    <w:rsid w:val="005A087C"/>
    <w:rsid w:val="005A66E8"/>
    <w:rsid w:val="005B7BFC"/>
    <w:rsid w:val="005F64D2"/>
    <w:rsid w:val="006F70A8"/>
    <w:rsid w:val="0081642E"/>
    <w:rsid w:val="008327AA"/>
    <w:rsid w:val="008358CA"/>
    <w:rsid w:val="008461BC"/>
    <w:rsid w:val="0085556D"/>
    <w:rsid w:val="0087079C"/>
    <w:rsid w:val="00880A3B"/>
    <w:rsid w:val="008E79D3"/>
    <w:rsid w:val="00956DCD"/>
    <w:rsid w:val="009751F5"/>
    <w:rsid w:val="0097763B"/>
    <w:rsid w:val="00A26F62"/>
    <w:rsid w:val="00AD22C8"/>
    <w:rsid w:val="00B306AF"/>
    <w:rsid w:val="00B37661"/>
    <w:rsid w:val="00CC3D78"/>
    <w:rsid w:val="00D112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spacing w:after="120"/>
    </w:pPr>
    <w:rPr>
      <w:rFonts w:ascii="Arial" w:eastAsia="Calibri" w:hAnsi="Arial" w:cs="Arial"/>
      <w:sz w:val="19"/>
      <w:szCs w:val="22"/>
      <w:lang w:eastAsia="zh-CN"/>
    </w:rPr>
  </w:style>
  <w:style w:type="paragraph" w:styleId="Cmsor1">
    <w:name w:val="heading 1"/>
    <w:basedOn w:val="Norml"/>
    <w:next w:val="Norml"/>
    <w:qFormat/>
    <w:pPr>
      <w:keepNext/>
      <w:keepLines/>
      <w:numPr>
        <w:numId w:val="1"/>
      </w:numPr>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Cmsor3">
    <w:name w:val="heading 3"/>
    <w:basedOn w:val="Standard"/>
    <w:next w:val="Norml"/>
    <w:qFormat/>
    <w:pPr>
      <w:keepNext/>
      <w:keepLines/>
      <w:numPr>
        <w:ilvl w:val="2"/>
        <w:numId w:val="1"/>
      </w:numPr>
      <w:spacing w:before="240" w:after="60"/>
      <w:outlineLvl w:val="2"/>
    </w:pPr>
    <w:rPr>
      <w:b/>
      <w:bCs/>
      <w:sz w:val="24"/>
    </w:rPr>
  </w:style>
  <w:style w:type="character" w:default="1" w:styleId="Bekezdsalapbettpusa">
    <w:name w:val="Default Paragraph Font"/>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2z0">
    <w:name w:val="WW8Num12z0"/>
    <w:rPr>
      <w:rFonts w:ascii="Calibri" w:hAnsi="Calibri" w:cs="Calibri"/>
      <w:b w:val="0"/>
      <w:sz w:val="24"/>
    </w:rPr>
  </w:style>
  <w:style w:type="character" w:customStyle="1" w:styleId="WW8Num13z0">
    <w:name w:val="WW8Num13z0"/>
    <w:rPr>
      <w:rFonts w:ascii="Calibri" w:hAnsi="Calibri" w:cs="Calibri"/>
      <w:b w:val="0"/>
      <w:sz w:val="20"/>
      <w:szCs w:val="20"/>
    </w:rPr>
  </w:style>
  <w:style w:type="character" w:customStyle="1" w:styleId="WW8Num14z0">
    <w:name w:val="WW8Num14z0"/>
    <w:rPr>
      <w:rFonts w:ascii="Arial" w:hAnsi="Arial" w:cs="Arial"/>
      <w:sz w:val="20"/>
      <w:szCs w:val="20"/>
    </w:rPr>
  </w:style>
  <w:style w:type="character" w:customStyle="1" w:styleId="WW8Num15z0">
    <w:name w:val="WW8Num15z0"/>
    <w:rPr>
      <w:rFonts w:ascii="Arial" w:hAnsi="Arial" w:cs="Arial"/>
    </w:rPr>
  </w:style>
  <w:style w:type="character" w:customStyle="1" w:styleId="Bekezdsalapbettpusa1">
    <w:name w:val="Bekezdés alapbetűtípusa1"/>
  </w:style>
  <w:style w:type="character" w:customStyle="1" w:styleId="CharChar1">
    <w:name w:val=" Char Char1"/>
    <w:basedOn w:val="Bekezdsalapbettpusa1"/>
    <w:rPr>
      <w:rFonts w:ascii="Arial" w:eastAsia="SimSun" w:hAnsi="Arial" w:cs="Calibri"/>
      <w:b/>
      <w:bCs/>
      <w:color w:val="000000"/>
      <w:kern w:val="1"/>
      <w:sz w:val="24"/>
      <w:lang w:val="en-AU" w:bidi="ar-SA"/>
    </w:rPr>
  </w:style>
  <w:style w:type="character" w:customStyle="1" w:styleId="StrongEmphasis">
    <w:name w:val="Strong Emphasis"/>
    <w:rPr>
      <w:b/>
      <w:bCs/>
    </w:rPr>
  </w:style>
  <w:style w:type="character" w:customStyle="1" w:styleId="CharChar3">
    <w:name w:val=" Char Char3"/>
    <w:basedOn w:val="Bekezdsalapbettpusa1"/>
    <w:rPr>
      <w:rFonts w:ascii="Cambria" w:eastAsia="Times New Roman" w:hAnsi="Cambria" w:cs="Times New Roman"/>
      <w:b/>
      <w:bCs/>
      <w:color w:val="365F91"/>
      <w:sz w:val="28"/>
      <w:szCs w:val="28"/>
    </w:rPr>
  </w:style>
  <w:style w:type="character" w:customStyle="1" w:styleId="CharChar2">
    <w:name w:val=" Char Char2"/>
    <w:basedOn w:val="Bekezdsalapbettpusa1"/>
    <w:rPr>
      <w:rFonts w:ascii="Cambria" w:eastAsia="Times New Roman" w:hAnsi="Cambria" w:cs="Times New Roman"/>
      <w:b/>
      <w:bCs/>
      <w:color w:val="4F81BD"/>
      <w:sz w:val="26"/>
      <w:szCs w:val="26"/>
    </w:rPr>
  </w:style>
  <w:style w:type="character" w:customStyle="1" w:styleId="CharChar">
    <w:name w:val=" Char Char"/>
    <w:basedOn w:val="Bekezdsalapbettpusa1"/>
    <w:rPr>
      <w:rFonts w:ascii="Arial" w:eastAsia="SimSun" w:hAnsi="Arial" w:cs="Calibri"/>
      <w:color w:val="000000"/>
      <w:kern w:val="1"/>
      <w:sz w:val="16"/>
      <w:szCs w:val="20"/>
      <w:lang w:val="en-AU"/>
    </w:rPr>
  </w:style>
  <w:style w:type="character" w:styleId="Hiperhivatkozs">
    <w:name w:val="Hyperlink"/>
    <w:rPr>
      <w:color w:val="0000FF"/>
      <w:u w:val="single"/>
    </w:rPr>
  </w:style>
  <w:style w:type="character" w:customStyle="1" w:styleId="hps">
    <w:name w:val="hps"/>
    <w:basedOn w:val="Bekezdsalapbettpusa1"/>
  </w:style>
  <w:style w:type="character" w:styleId="Kiemels2">
    <w:name w:val="Strong"/>
    <w:basedOn w:val="Bekezdsalapbettpusa1"/>
    <w:qFormat/>
    <w:rPr>
      <w:b/>
      <w:bCs/>
    </w:rPr>
  </w:style>
  <w:style w:type="character" w:styleId="Kiemels">
    <w:name w:val="Emphasis"/>
    <w:basedOn w:val="Bekezdsalapbettpusa1"/>
    <w:qFormat/>
    <w:rPr>
      <w:i/>
      <w:iCs/>
    </w:rPr>
  </w:style>
  <w:style w:type="character" w:styleId="Mrltotthiperhivatkozs">
    <w:name w:val="FollowedHyperlink"/>
    <w:basedOn w:val="Bekezdsalapbettpusa1"/>
    <w:rPr>
      <w:color w:val="800080"/>
      <w:u w:val="single"/>
    </w:rPr>
  </w:style>
  <w:style w:type="character" w:customStyle="1" w:styleId="Jegyzethivatkozs1">
    <w:name w:val="Jegyzethivatkozás1"/>
    <w:basedOn w:val="Bekezdsalapbettpusa1"/>
    <w:rPr>
      <w:sz w:val="16"/>
      <w:szCs w:val="16"/>
    </w:rPr>
  </w:style>
  <w:style w:type="paragraph" w:customStyle="1" w:styleId="Cmsor">
    <w:name w:val="Címsor"/>
    <w:basedOn w:val="Norml"/>
    <w:next w:val="Szvegtrzs"/>
    <w:pPr>
      <w:spacing w:before="240" w:after="60"/>
      <w:jc w:val="center"/>
    </w:pPr>
    <w:rPr>
      <w:b/>
      <w:bCs/>
      <w:kern w:val="1"/>
      <w:sz w:val="32"/>
      <w:szCs w:val="32"/>
    </w:rPr>
  </w:style>
  <w:style w:type="paragraph" w:styleId="Szvegtrzs">
    <w:name w:val="Body Text"/>
    <w:basedOn w:val="Norml"/>
  </w:style>
  <w:style w:type="paragraph" w:styleId="Lista">
    <w:name w:val="List"/>
    <w:basedOn w:val="Szvegtrzs"/>
    <w:rPr>
      <w:rFonts w:cs="Mangal"/>
    </w:rPr>
  </w:style>
  <w:style w:type="paragraph" w:styleId="Kpalrs">
    <w:name w:val="caption"/>
    <w:basedOn w:val="Norml"/>
    <w:qFormat/>
    <w:pPr>
      <w:suppressLineNumbers/>
      <w:spacing w:before="120"/>
    </w:pPr>
    <w:rPr>
      <w:rFonts w:cs="Mangal"/>
      <w:i/>
      <w:iCs/>
      <w:sz w:val="24"/>
      <w:szCs w:val="24"/>
    </w:rPr>
  </w:style>
  <w:style w:type="paragraph" w:customStyle="1" w:styleId="Trgymutat">
    <w:name w:val="Tárgymutató"/>
    <w:basedOn w:val="Norml"/>
    <w:pPr>
      <w:suppressLineNumbers/>
    </w:pPr>
    <w:rPr>
      <w:rFonts w:cs="Mangal"/>
    </w:rPr>
  </w:style>
  <w:style w:type="paragraph" w:customStyle="1" w:styleId="Standard">
    <w:name w:val="Standard"/>
    <w:pPr>
      <w:suppressAutoHyphens/>
      <w:spacing w:after="120"/>
      <w:textAlignment w:val="baseline"/>
    </w:pPr>
    <w:rPr>
      <w:rFonts w:ascii="Arial" w:eastAsia="SimSun" w:hAnsi="Arial" w:cs="Calibri"/>
      <w:color w:val="000000"/>
      <w:kern w:val="1"/>
      <w:sz w:val="19"/>
      <w:lang w:val="en-AU" w:eastAsia="zh-CN"/>
    </w:rPr>
  </w:style>
  <w:style w:type="paragraph" w:customStyle="1" w:styleId="Title1">
    <w:name w:val="Title1"/>
    <w:basedOn w:val="Norml"/>
    <w:pPr>
      <w:keepNext/>
      <w:spacing w:after="0"/>
      <w:jc w:val="center"/>
      <w:textAlignment w:val="baseline"/>
    </w:pPr>
    <w:rPr>
      <w:rFonts w:eastAsia="ヒラギノ角ゴ Pro W3" w:cs="Calibri"/>
      <w:b/>
      <w:color w:val="000000"/>
      <w:kern w:val="1"/>
      <w:sz w:val="36"/>
      <w:szCs w:val="20"/>
      <w:lang w:val="en-US"/>
    </w:rPr>
  </w:style>
  <w:style w:type="paragraph" w:styleId="llb">
    <w:name w:val="footer"/>
    <w:basedOn w:val="Standard"/>
    <w:pPr>
      <w:suppressLineNumbers/>
      <w:tabs>
        <w:tab w:val="center" w:pos="4513"/>
        <w:tab w:val="right" w:pos="9026"/>
      </w:tabs>
      <w:spacing w:after="0"/>
    </w:pPr>
    <w:rPr>
      <w:sz w:val="16"/>
    </w:rPr>
  </w:style>
  <w:style w:type="paragraph" w:customStyle="1" w:styleId="FootnoteText1">
    <w:name w:val="Footnote Text1"/>
    <w:pPr>
      <w:tabs>
        <w:tab w:val="right" w:pos="10766"/>
      </w:tabs>
      <w:suppressAutoHyphens/>
      <w:textAlignment w:val="baseline"/>
    </w:pPr>
    <w:rPr>
      <w:rFonts w:ascii="Helvetica" w:eastAsia="ヒラギノ角ゴ Pro W3" w:hAnsi="Helvetica" w:cs="Calibri"/>
      <w:color w:val="000000"/>
      <w:kern w:val="1"/>
      <w:sz w:val="18"/>
      <w:lang w:val="en-US" w:eastAsia="zh-CN"/>
    </w:rPr>
  </w:style>
  <w:style w:type="paragraph" w:customStyle="1" w:styleId="Body">
    <w:name w:val="Body"/>
    <w:pPr>
      <w:suppressAutoHyphens/>
      <w:spacing w:before="120" w:after="80"/>
      <w:textAlignment w:val="baseline"/>
    </w:pPr>
    <w:rPr>
      <w:rFonts w:ascii="Arial" w:eastAsia="ヒラギノ角ゴ Pro W3" w:hAnsi="Arial" w:cs="Calibri"/>
      <w:color w:val="000000"/>
      <w:kern w:val="1"/>
      <w:sz w:val="19"/>
      <w:lang w:val="en-US" w:eastAsia="zh-CN"/>
    </w:rPr>
  </w:style>
  <w:style w:type="paragraph" w:customStyle="1" w:styleId="Sub-heading">
    <w:name w:val="Sub-heading"/>
    <w:pPr>
      <w:keepNext/>
      <w:suppressAutoHyphens/>
      <w:spacing w:before="240"/>
      <w:textAlignment w:val="baseline"/>
    </w:pPr>
    <w:rPr>
      <w:rFonts w:ascii="Arial" w:eastAsia="ヒラギノ角ゴ Pro W3" w:hAnsi="Arial" w:cs="Arial"/>
      <w:b/>
      <w:color w:val="000000"/>
      <w:kern w:val="1"/>
      <w:sz w:val="22"/>
      <w:lang w:val="en-US" w:eastAsia="zh-CN"/>
    </w:rPr>
  </w:style>
  <w:style w:type="paragraph" w:customStyle="1" w:styleId="Address">
    <w:name w:val="Address"/>
    <w:pPr>
      <w:suppressAutoHyphens/>
      <w:textAlignment w:val="baseline"/>
    </w:pPr>
    <w:rPr>
      <w:rFonts w:ascii="Helvetica" w:eastAsia="ヒラギノ角ゴ Pro W3" w:hAnsi="Helvetica" w:cs="Calibri"/>
      <w:color w:val="000000"/>
      <w:kern w:val="1"/>
      <w:sz w:val="18"/>
      <w:lang w:val="en-US" w:eastAsia="zh-CN"/>
    </w:rPr>
  </w:style>
  <w:style w:type="paragraph" w:customStyle="1" w:styleId="FinePrint">
    <w:name w:val="Fine Prin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before="60" w:line="264" w:lineRule="auto"/>
      <w:textAlignment w:val="baseline"/>
    </w:pPr>
    <w:rPr>
      <w:rFonts w:ascii="Arial" w:eastAsia="ヒラギノ角ゴ Pro W3" w:hAnsi="Arial" w:cs="Arial"/>
      <w:color w:val="000000"/>
      <w:kern w:val="1"/>
      <w:sz w:val="19"/>
      <w:szCs w:val="19"/>
      <w:lang w:val="en-US" w:eastAsia="zh-CN"/>
    </w:rPr>
  </w:style>
  <w:style w:type="paragraph" w:customStyle="1" w:styleId="Schedule">
    <w:name w:val="Schedule"/>
    <w:pPr>
      <w:tabs>
        <w:tab w:val="left" w:pos="766"/>
        <w:tab w:val="left" w:pos="1474"/>
        <w:tab w:val="left" w:pos="2183"/>
        <w:tab w:val="left" w:pos="2892"/>
        <w:tab w:val="left" w:pos="3600"/>
        <w:tab w:val="left" w:pos="4309"/>
        <w:tab w:val="left" w:pos="5018"/>
        <w:tab w:val="left" w:pos="5726"/>
        <w:tab w:val="left" w:pos="6435"/>
        <w:tab w:val="left" w:pos="7144"/>
        <w:tab w:val="left" w:pos="7852"/>
        <w:tab w:val="left" w:pos="8561"/>
        <w:tab w:val="left" w:pos="9270"/>
        <w:tab w:val="left" w:pos="9978"/>
        <w:tab w:val="left" w:pos="10687"/>
        <w:tab w:val="left" w:pos="11396"/>
        <w:tab w:val="left" w:pos="12104"/>
        <w:tab w:val="left" w:pos="12813"/>
        <w:tab w:val="left" w:pos="13522"/>
        <w:tab w:val="left" w:pos="14230"/>
        <w:tab w:val="left" w:pos="14939"/>
        <w:tab w:val="left" w:pos="15648"/>
        <w:tab w:val="left" w:pos="16356"/>
        <w:tab w:val="left" w:pos="17065"/>
        <w:tab w:val="left" w:pos="17774"/>
        <w:tab w:val="left" w:pos="18482"/>
        <w:tab w:val="left" w:pos="19191"/>
        <w:tab w:val="left" w:pos="19900"/>
        <w:tab w:val="left" w:pos="20608"/>
        <w:tab w:val="left" w:pos="21317"/>
        <w:tab w:val="left" w:pos="22026"/>
        <w:tab w:val="left" w:pos="22734"/>
        <w:tab w:val="left" w:pos="23443"/>
        <w:tab w:val="left" w:pos="24151"/>
        <w:tab w:val="left" w:pos="24860"/>
        <w:tab w:val="left" w:pos="25569"/>
        <w:tab w:val="left" w:pos="26277"/>
        <w:tab w:val="left" w:pos="26986"/>
        <w:tab w:val="left" w:pos="27695"/>
        <w:tab w:val="left" w:pos="28403"/>
        <w:tab w:val="left" w:pos="29112"/>
      </w:tabs>
      <w:suppressAutoHyphens/>
      <w:spacing w:before="100" w:after="60" w:line="264" w:lineRule="auto"/>
      <w:ind w:left="170"/>
      <w:textAlignment w:val="baseline"/>
    </w:pPr>
    <w:rPr>
      <w:rFonts w:ascii="Arial" w:eastAsia="ヒラギノ角ゴ Pro W3" w:hAnsi="Arial" w:cs="Arial"/>
      <w:color w:val="000000"/>
      <w:kern w:val="1"/>
      <w:sz w:val="19"/>
      <w:szCs w:val="19"/>
      <w:lang w:val="en-US" w:eastAsia="zh-CN"/>
    </w:rPr>
  </w:style>
  <w:style w:type="paragraph" w:customStyle="1" w:styleId="Kpalrs1">
    <w:name w:val="Képaláírás1"/>
    <w:basedOn w:val="Norml"/>
    <w:next w:val="Norml"/>
    <w:rPr>
      <w:b/>
      <w:bCs/>
      <w:color w:val="4F81BD"/>
      <w:sz w:val="18"/>
      <w:szCs w:val="18"/>
    </w:rPr>
  </w:style>
  <w:style w:type="paragraph" w:customStyle="1" w:styleId="Table">
    <w:name w:val="Table"/>
    <w:basedOn w:val="Kpalrs1"/>
    <w:pPr>
      <w:suppressLineNumbers/>
      <w:spacing w:before="40"/>
      <w:textAlignment w:val="baseline"/>
    </w:pPr>
    <w:rPr>
      <w:rFonts w:ascii="Helvetica" w:eastAsia="ヒラギノ角ゴ Pro W3" w:hAnsi="Helvetica" w:cs="Mangal"/>
      <w:b w:val="0"/>
      <w:bCs w:val="0"/>
      <w:i/>
      <w:iCs/>
      <w:color w:val="000000"/>
      <w:kern w:val="1"/>
      <w:szCs w:val="24"/>
      <w:lang w:val="en-US"/>
    </w:rPr>
  </w:style>
  <w:style w:type="paragraph" w:styleId="NormlWeb">
    <w:name w:val="Normal (Web)"/>
    <w:basedOn w:val="Norml"/>
    <w:pPr>
      <w:spacing w:before="280" w:after="280"/>
    </w:pPr>
    <w:rPr>
      <w:rFonts w:ascii="Times New Roman" w:eastAsia="Times New Roman" w:hAnsi="Times New Roman" w:cs="Times New Roman"/>
      <w:sz w:val="24"/>
      <w:szCs w:val="24"/>
    </w:rPr>
  </w:style>
  <w:style w:type="paragraph" w:customStyle="1" w:styleId="rteindent1">
    <w:name w:val="rteindent1"/>
    <w:basedOn w:val="Norml"/>
    <w:pPr>
      <w:spacing w:before="280" w:after="280"/>
    </w:pPr>
    <w:rPr>
      <w:rFonts w:ascii="Times New Roman" w:eastAsia="Times New Roman" w:hAnsi="Times New Roman" w:cs="Times New Roman"/>
      <w:sz w:val="24"/>
      <w:szCs w:val="24"/>
    </w:rPr>
  </w:style>
  <w:style w:type="paragraph" w:styleId="Buborkszveg">
    <w:name w:val="Balloon Text"/>
    <w:basedOn w:val="Norml"/>
    <w:rPr>
      <w:rFonts w:ascii="Tahoma" w:hAnsi="Tahoma" w:cs="Tahoma"/>
      <w:sz w:val="16"/>
      <w:szCs w:val="16"/>
    </w:rPr>
  </w:style>
  <w:style w:type="paragraph" w:styleId="lfej">
    <w:name w:val="header"/>
    <w:basedOn w:val="Norml"/>
    <w:pPr>
      <w:tabs>
        <w:tab w:val="center" w:pos="4536"/>
        <w:tab w:val="right" w:pos="9072"/>
      </w:tabs>
    </w:p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rPr>
      <w:b/>
      <w:bCs/>
    </w:rPr>
  </w:style>
  <w:style w:type="paragraph" w:customStyle="1" w:styleId="Dokumentumtrkp1">
    <w:name w:val="Dokumentumtérkép1"/>
    <w:basedOn w:val="Norml"/>
    <w:pPr>
      <w:shd w:val="clear" w:color="auto" w:fill="000080"/>
    </w:pPr>
    <w:rPr>
      <w:rFonts w:ascii="Tahoma" w:hAnsi="Tahoma" w:cs="Tahoma"/>
      <w:sz w:val="20"/>
      <w:szCs w:val="20"/>
    </w:rPr>
  </w:style>
  <w:style w:type="paragraph" w:customStyle="1" w:styleId="StlusBal0cmFgg25cm">
    <w:name w:val="Stílus Bal:  0 cm Függő:  25 cm"/>
    <w:basedOn w:val="Norml"/>
    <w:pPr>
      <w:ind w:left="1418" w:hanging="1418"/>
    </w:pPr>
    <w:rPr>
      <w:rFonts w:eastAsia="Times New Roman"/>
      <w:szCs w:val="20"/>
    </w:rPr>
  </w:style>
  <w:style w:type="paragraph" w:styleId="Alcm">
    <w:name w:val="Subtitle"/>
    <w:basedOn w:val="Norml"/>
    <w:next w:val="Szvegtrzs"/>
    <w:qFormat/>
    <w:pPr>
      <w:spacing w:before="120" w:after="60"/>
    </w:pPr>
    <w:rPr>
      <w:sz w:val="22"/>
      <w:szCs w:val="24"/>
    </w:rPr>
  </w:style>
  <w:style w:type="paragraph" w:customStyle="1" w:styleId="StlusCmsor1Arial">
    <w:name w:val="Stílus Címsor 1 + Arial"/>
    <w:basedOn w:val="Cmsor1"/>
    <w:pPr>
      <w:numPr>
        <w:numId w:val="0"/>
      </w:numPr>
      <w:outlineLvl w:val="9"/>
    </w:pPr>
    <w:rPr>
      <w:rFonts w:ascii="Arial" w:hAnsi="Arial" w:cs="Arial"/>
      <w:color w:val="auto"/>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s>
</file>

<file path=word/webSettings.xml><?xml version="1.0" encoding="utf-8"?>
<w:webSettings xmlns:r="http://schemas.openxmlformats.org/officeDocument/2006/relationships" xmlns:w="http://schemas.openxmlformats.org/wordprocessingml/2006/main">
  <w:divs>
    <w:div w:id="119604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uv.com/oppt-absolute/original-oppt-ucc-fili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propertyinfo.com/DC-Washingt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zsoltee\Downloads\CN-Incident\www.I-UV.com" TargetMode="External"/><Relationship Id="rId5" Type="http://schemas.openxmlformats.org/officeDocument/2006/relationships/footnotes" Target="footnotes.xml"/><Relationship Id="rId10" Type="http://schemas.openxmlformats.org/officeDocument/2006/relationships/hyperlink" Target="http://www.scribd.com/doc/118067922/PARADIGM-DOCUMENT-FROM-THE-TREASURY-FINANCE-AG-INDUSTRIESTRASSE-21-CH-6055ALPNACH-DORF-SWITZERLAND%20" TargetMode="External"/><Relationship Id="rId4" Type="http://schemas.openxmlformats.org/officeDocument/2006/relationships/webSettings" Target="webSettings.xml"/><Relationship Id="rId9" Type="http://schemas.openxmlformats.org/officeDocument/2006/relationships/hyperlink" Target="https://gov.propertyinfo.com/DC-Washington/"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2789</Words>
  <Characters>19249</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Udvariassági feljegyzés</vt:lpstr>
    </vt:vector>
  </TitlesOfParts>
  <Company>Andrássy Tamás Kft.</Company>
  <LinksUpToDate>false</LinksUpToDate>
  <CharactersWithSpaces>21995</CharactersWithSpaces>
  <SharedDoc>false</SharedDoc>
  <HLinks>
    <vt:vector size="30" baseType="variant">
      <vt:variant>
        <vt:i4>2818081</vt:i4>
      </vt:variant>
      <vt:variant>
        <vt:i4>12</vt:i4>
      </vt:variant>
      <vt:variant>
        <vt:i4>0</vt:i4>
      </vt:variant>
      <vt:variant>
        <vt:i4>5</vt:i4>
      </vt:variant>
      <vt:variant>
        <vt:lpwstr>../CN-Incident/www.I-UV.com</vt:lpwstr>
      </vt:variant>
      <vt:variant>
        <vt:lpwstr/>
      </vt:variant>
      <vt:variant>
        <vt:i4>4849682</vt:i4>
      </vt:variant>
      <vt:variant>
        <vt:i4>9</vt:i4>
      </vt:variant>
      <vt:variant>
        <vt:i4>0</vt:i4>
      </vt:variant>
      <vt:variant>
        <vt:i4>5</vt:i4>
      </vt:variant>
      <vt:variant>
        <vt:lpwstr>http://www.scribd.com/doc/118067922/PARADIGM-DOCUMENT-FROM-THE-TREASURY-FINANCE-AG-INDUSTRIESTRASSE-21-CH-6055ALPNACH-DORF-SWITZERLAND%20</vt:lpwstr>
      </vt:variant>
      <vt:variant>
        <vt:lpwstr/>
      </vt:variant>
      <vt:variant>
        <vt:i4>6422584</vt:i4>
      </vt:variant>
      <vt:variant>
        <vt:i4>6</vt:i4>
      </vt:variant>
      <vt:variant>
        <vt:i4>0</vt:i4>
      </vt:variant>
      <vt:variant>
        <vt:i4>5</vt:i4>
      </vt:variant>
      <vt:variant>
        <vt:lpwstr>https://gov.propertyinfo.com/DC-Washington/</vt:lpwstr>
      </vt:variant>
      <vt:variant>
        <vt:lpwstr/>
      </vt:variant>
      <vt:variant>
        <vt:i4>5963861</vt:i4>
      </vt:variant>
      <vt:variant>
        <vt:i4>3</vt:i4>
      </vt:variant>
      <vt:variant>
        <vt:i4>0</vt:i4>
      </vt:variant>
      <vt:variant>
        <vt:i4>5</vt:i4>
      </vt:variant>
      <vt:variant>
        <vt:lpwstr>http://i-uv.com/oppt-absolute/original-oppt-ucc-filings/</vt:lpwstr>
      </vt:variant>
      <vt:variant>
        <vt:lpwstr/>
      </vt:variant>
      <vt:variant>
        <vt:i4>6422584</vt:i4>
      </vt:variant>
      <vt:variant>
        <vt:i4>0</vt:i4>
      </vt:variant>
      <vt:variant>
        <vt:i4>0</vt:i4>
      </vt:variant>
      <vt:variant>
        <vt:i4>5</vt:i4>
      </vt:variant>
      <vt:variant>
        <vt:lpwstr>https://gov.propertyinfo.com/DC-Washington/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Udvariassági feljegyzés</dc:title>
  <dc:creator>Zsoldos Betty</dc:creator>
  <cp:lastModifiedBy>zsoltee</cp:lastModifiedBy>
  <cp:revision>2</cp:revision>
  <cp:lastPrinted>2013-06-21T18:49:00Z</cp:lastPrinted>
  <dcterms:created xsi:type="dcterms:W3CDTF">2013-11-13T14:10:00Z</dcterms:created>
  <dcterms:modified xsi:type="dcterms:W3CDTF">2013-11-13T14:10:00Z</dcterms:modified>
</cp:coreProperties>
</file>